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eab0" w14:textId="e9fe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13 маусымдағы XXIV сессиясының № 251 шешімі. Қарағанды облысының Әділет департаментінде 2018 жылғы 21 маусымда № 4827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704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ауданының аумағында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38 сессиясының 2015 жылғы 17 қыркүйектегі № 400 "Нұра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3437 болып тіркелген, "Әділет" ақпараттық-құқықтық жүйесінде 2015 жылғы 20 қазанда, 2015 жылғы 17 қазандағы № 42 (5429) "Нұра" газетінде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42 сессиясының 2016 жылғы 18 қаңтардағы № 442 "Нұра аудандық мәслихатының 2015 жылғы 17 қыркүйектегі 38 сессиясының № 400 "Нұра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болып тіркелген, "Әділет" ақпараттық-құқықтық жүйесінде 2016 жылғы 22 ақпанда, 2016 жылғы 20 ақпанда № 7 (5445) "Нұра" газетінде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 ресми жарияланған күнiнен кейiн күнтiзбелiк он күн өткен соң қолданысқа енгiзiледi және 2020 жылғы 1 қаңтарға дейін колданылады.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