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29932" w14:textId="63299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оқу орындарын жіктеу критерийлерін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м.а. 2015 жылғы 6 қарашадағы № 628 бұйрығы. Қазақстан Республикасының Әділет министрлігінде 2015 жылы 13 қарашада № 12285 болып тіркелді. Күші жойылды - Қазақстан Республикасы Білім және ғылым министрінің 2016 жылғы 8 маусымдағы № 367 бұйрығымен</w:t>
      </w:r>
    </w:p>
    <w:p>
      <w:pPr>
        <w:spacing w:after="0"/>
        <w:ind w:left="0"/>
        <w:jc w:val="both"/>
      </w:pPr>
      <w:r>
        <w:rPr>
          <w:rFonts w:ascii="Times New Roman"/>
          <w:b w:val="false"/>
          <w:i w:val="false"/>
          <w:color w:val="ff0000"/>
          <w:sz w:val="28"/>
        </w:rPr>
        <w:t xml:space="preserve">      Ескерту. Бұйрықтың күші жойылды - ҚР Білім және ғылым министрінің 08.06.2016 </w:t>
      </w:r>
      <w:r>
        <w:rPr>
          <w:rFonts w:ascii="Times New Roman"/>
          <w:b w:val="false"/>
          <w:i w:val="false"/>
          <w:color w:val="ff0000"/>
          <w:sz w:val="28"/>
        </w:rPr>
        <w:t>№ 367</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қағидаларын бекіту туралы» Қазақстан Республикасы Үкіметінің 2013 жылғы 17 мамырдағы № 499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Жоғары оқу орындарын жіктеу </w:t>
      </w:r>
      <w:r>
        <w:rPr>
          <w:rFonts w:ascii="Times New Roman"/>
          <w:b w:val="false"/>
          <w:i w:val="false"/>
          <w:color w:val="000000"/>
          <w:sz w:val="28"/>
        </w:rPr>
        <w:t>критерийлері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Жоғары және жоғары оқу орнынан кейінгі білім, халықаралық ынтымақтастық департаменті (С.М. Өмірбаев)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тіркеуден өткеннен кейін күнтізбелік он күн ішінде оны мерзімдік баспа басылымдарында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Білім және ғылым министрлігінің ресми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жетекшілік ететін Қазақстан Республикасының Білім және ғылым вице-министріне жүктелсін. </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жарияланғаннан кейін күнтiзбелiк он күн өткен соң қолданысқа енгiзiледі.</w:t>
      </w:r>
    </w:p>
    <w:bookmarkEnd w:id="0"/>
    <w:p>
      <w:pPr>
        <w:spacing w:after="0"/>
        <w:ind w:left="0"/>
        <w:jc w:val="both"/>
      </w:pPr>
      <w:r>
        <w:rPr>
          <w:rFonts w:ascii="Times New Roman"/>
          <w:b w:val="false"/>
          <w:i/>
          <w:color w:val="000000"/>
          <w:sz w:val="28"/>
        </w:rPr>
        <w:t>      Министрдің міндетін атқарушы              Т. Балықбаев</w:t>
      </w:r>
    </w:p>
    <w:bookmarkStart w:name="z9"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Білім және ғылым министрі</w:t>
      </w:r>
      <w:r>
        <w:br/>
      </w:r>
      <w:r>
        <w:rPr>
          <w:rFonts w:ascii="Times New Roman"/>
          <w:b w:val="false"/>
          <w:i w:val="false"/>
          <w:color w:val="000000"/>
          <w:sz w:val="28"/>
        </w:rPr>
        <w:t>
міндетін атқарушының</w:t>
      </w:r>
      <w:r>
        <w:br/>
      </w:r>
      <w:r>
        <w:rPr>
          <w:rFonts w:ascii="Times New Roman"/>
          <w:b w:val="false"/>
          <w:i w:val="false"/>
          <w:color w:val="000000"/>
          <w:sz w:val="28"/>
        </w:rPr>
        <w:t>
2015 жылғы 6 қарашадағы</w:t>
      </w:r>
      <w:r>
        <w:br/>
      </w:r>
      <w:r>
        <w:rPr>
          <w:rFonts w:ascii="Times New Roman"/>
          <w:b w:val="false"/>
          <w:i w:val="false"/>
          <w:color w:val="000000"/>
          <w:sz w:val="28"/>
        </w:rPr>
        <w:t>
№ 628 бұйрығымен</w:t>
      </w:r>
      <w:r>
        <w:br/>
      </w:r>
      <w:r>
        <w:rPr>
          <w:rFonts w:ascii="Times New Roman"/>
          <w:b w:val="false"/>
          <w:i w:val="false"/>
          <w:color w:val="000000"/>
          <w:sz w:val="28"/>
        </w:rPr>
        <w:t>
бекітілген</w:t>
      </w:r>
    </w:p>
    <w:bookmarkEnd w:id="1"/>
    <w:bookmarkStart w:name="z10" w:id="2"/>
    <w:p>
      <w:pPr>
        <w:spacing w:after="0"/>
        <w:ind w:left="0"/>
        <w:jc w:val="left"/>
      </w:pPr>
      <w:r>
        <w:rPr>
          <w:rFonts w:ascii="Times New Roman"/>
          <w:b/>
          <w:i w:val="false"/>
          <w:color w:val="000000"/>
        </w:rPr>
        <w:t xml:space="preserve"> 
Жоғары оқу орындарын жіктеу критерийлері Жалпы ережелер</w:t>
      </w:r>
    </w:p>
    <w:bookmarkEnd w:id="2"/>
    <w:bookmarkStart w:name="z11" w:id="3"/>
    <w:p>
      <w:pPr>
        <w:spacing w:after="0"/>
        <w:ind w:left="0"/>
        <w:jc w:val="both"/>
      </w:pPr>
      <w:r>
        <w:rPr>
          <w:rFonts w:ascii="Times New Roman"/>
          <w:b w:val="false"/>
          <w:i w:val="false"/>
          <w:color w:val="000000"/>
          <w:sz w:val="28"/>
        </w:rPr>
        <w:t>
      1. Жоғары оқу орындарын жіктеу критерийлері (бұдан әрі – Критерийлер) «Тиісті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қағидаларын бекіту туралы» Қазақстан Республикасы Үкіметінің 2013 жылғы 20 мамырдағы № 499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Критерийлер елдің әлеуметтік-экономикалық және ғылыми-техникалық дамуындағы олардың маңыздылығын анықтау мақсатында жоғары және жоғары оқу орнынан кейінгі білім беру бағдарламаларын іске асыратын жоғары оқу орындарына (бұдан әрі – ЖОО) арналған. Критерийлер әскери және арнаулы оқу орындарына қолданылмайды.</w:t>
      </w:r>
      <w:r>
        <w:br/>
      </w:r>
      <w:r>
        <w:rPr>
          <w:rFonts w:ascii="Times New Roman"/>
          <w:b w:val="false"/>
          <w:i w:val="false"/>
          <w:color w:val="000000"/>
          <w:sz w:val="28"/>
        </w:rPr>
        <w:t>
</w:t>
      </w:r>
      <w:r>
        <w:rPr>
          <w:rFonts w:ascii="Times New Roman"/>
          <w:b w:val="false"/>
          <w:i w:val="false"/>
          <w:color w:val="000000"/>
          <w:sz w:val="28"/>
        </w:rPr>
        <w:t>
      3. Критерийлер көрсетілетін білім беру қызметтерінің сапасын, ЖОО-лардың білім беру, ғылыми және инновациялық әлеуетінің тиімді пайдаланылуын бағалауға негізделген.</w:t>
      </w:r>
      <w:r>
        <w:br/>
      </w:r>
      <w:r>
        <w:rPr>
          <w:rFonts w:ascii="Times New Roman"/>
          <w:b w:val="false"/>
          <w:i w:val="false"/>
          <w:color w:val="000000"/>
          <w:sz w:val="28"/>
        </w:rPr>
        <w:t>
</w:t>
      </w:r>
      <w:r>
        <w:rPr>
          <w:rFonts w:ascii="Times New Roman"/>
          <w:b w:val="false"/>
          <w:i w:val="false"/>
          <w:color w:val="000000"/>
          <w:sz w:val="28"/>
        </w:rPr>
        <w:t>
      4. Критерийлер жоғары және жоғары оқу орнынан кейінгі білім беру саласындағы жетекші халықаралық QS World University Rankings және Times Higher Education World University Rankings рейтингтерінің әдістемелерін есепке ала отырып әзірленген.</w:t>
      </w:r>
      <w:r>
        <w:br/>
      </w:r>
      <w:r>
        <w:rPr>
          <w:rFonts w:ascii="Times New Roman"/>
          <w:b w:val="false"/>
          <w:i w:val="false"/>
          <w:color w:val="000000"/>
          <w:sz w:val="28"/>
        </w:rPr>
        <w:t>
</w:t>
      </w:r>
      <w:r>
        <w:rPr>
          <w:rFonts w:ascii="Times New Roman"/>
          <w:b w:val="false"/>
          <w:i w:val="false"/>
          <w:color w:val="000000"/>
          <w:sz w:val="28"/>
        </w:rPr>
        <w:t>
      5. Критерийлер мынадай ЖОО түрлеріне арналып әзірленген:</w:t>
      </w:r>
      <w:r>
        <w:br/>
      </w:r>
      <w:r>
        <w:rPr>
          <w:rFonts w:ascii="Times New Roman"/>
          <w:b w:val="false"/>
          <w:i w:val="false"/>
          <w:color w:val="000000"/>
          <w:sz w:val="28"/>
        </w:rPr>
        <w:t>
</w:t>
      </w:r>
      <w:r>
        <w:rPr>
          <w:rFonts w:ascii="Times New Roman"/>
          <w:b w:val="false"/>
          <w:i w:val="false"/>
          <w:color w:val="000000"/>
          <w:sz w:val="28"/>
        </w:rPr>
        <w:t>
      1) ұлттық зерттеу университеті;</w:t>
      </w:r>
      <w:r>
        <w:br/>
      </w:r>
      <w:r>
        <w:rPr>
          <w:rFonts w:ascii="Times New Roman"/>
          <w:b w:val="false"/>
          <w:i w:val="false"/>
          <w:color w:val="000000"/>
          <w:sz w:val="28"/>
        </w:rPr>
        <w:t>
</w:t>
      </w:r>
      <w:r>
        <w:rPr>
          <w:rFonts w:ascii="Times New Roman"/>
          <w:b w:val="false"/>
          <w:i w:val="false"/>
          <w:color w:val="000000"/>
          <w:sz w:val="28"/>
        </w:rPr>
        <w:t>
      2) зерттеу университеті;</w:t>
      </w:r>
      <w:r>
        <w:br/>
      </w:r>
      <w:r>
        <w:rPr>
          <w:rFonts w:ascii="Times New Roman"/>
          <w:b w:val="false"/>
          <w:i w:val="false"/>
          <w:color w:val="000000"/>
          <w:sz w:val="28"/>
        </w:rPr>
        <w:t>
</w:t>
      </w:r>
      <w:r>
        <w:rPr>
          <w:rFonts w:ascii="Times New Roman"/>
          <w:b w:val="false"/>
          <w:i w:val="false"/>
          <w:color w:val="000000"/>
          <w:sz w:val="28"/>
        </w:rPr>
        <w:t>
      3) ұлттық жоғары оқу орны;</w:t>
      </w:r>
      <w:r>
        <w:br/>
      </w:r>
      <w:r>
        <w:rPr>
          <w:rFonts w:ascii="Times New Roman"/>
          <w:b w:val="false"/>
          <w:i w:val="false"/>
          <w:color w:val="000000"/>
          <w:sz w:val="28"/>
        </w:rPr>
        <w:t>
</w:t>
      </w:r>
      <w:r>
        <w:rPr>
          <w:rFonts w:ascii="Times New Roman"/>
          <w:b w:val="false"/>
          <w:i w:val="false"/>
          <w:color w:val="000000"/>
          <w:sz w:val="28"/>
        </w:rPr>
        <w:t>
      4) университет;</w:t>
      </w:r>
      <w:r>
        <w:br/>
      </w:r>
      <w:r>
        <w:rPr>
          <w:rFonts w:ascii="Times New Roman"/>
          <w:b w:val="false"/>
          <w:i w:val="false"/>
          <w:color w:val="000000"/>
          <w:sz w:val="28"/>
        </w:rPr>
        <w:t>
</w:t>
      </w:r>
      <w:r>
        <w:rPr>
          <w:rFonts w:ascii="Times New Roman"/>
          <w:b w:val="false"/>
          <w:i w:val="false"/>
          <w:color w:val="000000"/>
          <w:sz w:val="28"/>
        </w:rPr>
        <w:t>
      5) академия;</w:t>
      </w:r>
      <w:r>
        <w:br/>
      </w:r>
      <w:r>
        <w:rPr>
          <w:rFonts w:ascii="Times New Roman"/>
          <w:b w:val="false"/>
          <w:i w:val="false"/>
          <w:color w:val="000000"/>
          <w:sz w:val="28"/>
        </w:rPr>
        <w:t>
</w:t>
      </w:r>
      <w:r>
        <w:rPr>
          <w:rFonts w:ascii="Times New Roman"/>
          <w:b w:val="false"/>
          <w:i w:val="false"/>
          <w:color w:val="000000"/>
          <w:sz w:val="28"/>
        </w:rPr>
        <w:t>
      6) институт</w:t>
      </w:r>
      <w:r>
        <w:br/>
      </w:r>
      <w:r>
        <w:rPr>
          <w:rFonts w:ascii="Times New Roman"/>
          <w:b w:val="false"/>
          <w:i w:val="false"/>
          <w:color w:val="000000"/>
          <w:sz w:val="28"/>
        </w:rPr>
        <w:t>
</w:t>
      </w:r>
      <w:r>
        <w:rPr>
          <w:rFonts w:ascii="Times New Roman"/>
          <w:b w:val="false"/>
          <w:i w:val="false"/>
          <w:color w:val="000000"/>
          <w:sz w:val="28"/>
        </w:rPr>
        <w:t>
      7) жоғары оқу орындарына теңестірілген ұйымдар (консерватория, жоғары мектеп, жоғары училище).</w:t>
      </w:r>
      <w:r>
        <w:br/>
      </w:r>
      <w:r>
        <w:rPr>
          <w:rFonts w:ascii="Times New Roman"/>
          <w:b w:val="false"/>
          <w:i w:val="false"/>
          <w:color w:val="000000"/>
          <w:sz w:val="28"/>
        </w:rPr>
        <w:t>
</w:t>
      </w:r>
      <w:r>
        <w:rPr>
          <w:rFonts w:ascii="Times New Roman"/>
          <w:b w:val="false"/>
          <w:i w:val="false"/>
          <w:color w:val="000000"/>
          <w:sz w:val="28"/>
        </w:rPr>
        <w:t>
      6. Ұлттық зерттеу университетінің критерийлері:</w:t>
      </w:r>
      <w:r>
        <w:br/>
      </w:r>
      <w:r>
        <w:rPr>
          <w:rFonts w:ascii="Times New Roman"/>
          <w:b w:val="false"/>
          <w:i w:val="false"/>
          <w:color w:val="000000"/>
          <w:sz w:val="28"/>
        </w:rPr>
        <w:t>
</w:t>
      </w:r>
      <w:r>
        <w:rPr>
          <w:rFonts w:ascii="Times New Roman"/>
          <w:b w:val="false"/>
          <w:i w:val="false"/>
          <w:color w:val="000000"/>
          <w:sz w:val="28"/>
        </w:rPr>
        <w:t>
      1) ерекше мәртебесі бар жоғары оқу орны;</w:t>
      </w:r>
      <w:r>
        <w:br/>
      </w:r>
      <w:r>
        <w:rPr>
          <w:rFonts w:ascii="Times New Roman"/>
          <w:b w:val="false"/>
          <w:i w:val="false"/>
          <w:color w:val="000000"/>
          <w:sz w:val="28"/>
        </w:rPr>
        <w:t>
</w:t>
      </w:r>
      <w:r>
        <w:rPr>
          <w:rFonts w:ascii="Times New Roman"/>
          <w:b w:val="false"/>
          <w:i w:val="false"/>
          <w:color w:val="000000"/>
          <w:sz w:val="28"/>
        </w:rPr>
        <w:t>
      2) бес жылға арналған даму бағдарламасының жобасы бар;</w:t>
      </w:r>
      <w:r>
        <w:br/>
      </w:r>
      <w:r>
        <w:rPr>
          <w:rFonts w:ascii="Times New Roman"/>
          <w:b w:val="false"/>
          <w:i w:val="false"/>
          <w:color w:val="000000"/>
          <w:sz w:val="28"/>
        </w:rPr>
        <w:t>
</w:t>
      </w:r>
      <w:r>
        <w:rPr>
          <w:rFonts w:ascii="Times New Roman"/>
          <w:b w:val="false"/>
          <w:i w:val="false"/>
          <w:color w:val="000000"/>
          <w:sz w:val="28"/>
        </w:rPr>
        <w:t>
      3) мамандықтардың үш және одан да көп тобы бойынша жоғары және жоғары оқу орнынан кейінгі білім берудің өз бетінше әзірленген білім беретін оқу бағдарламаларын іске асырады;</w:t>
      </w:r>
      <w:r>
        <w:br/>
      </w:r>
      <w:r>
        <w:rPr>
          <w:rFonts w:ascii="Times New Roman"/>
          <w:b w:val="false"/>
          <w:i w:val="false"/>
          <w:color w:val="000000"/>
          <w:sz w:val="28"/>
        </w:rPr>
        <w:t>
</w:t>
      </w:r>
      <w:r>
        <w:rPr>
          <w:rFonts w:ascii="Times New Roman"/>
          <w:b w:val="false"/>
          <w:i w:val="false"/>
          <w:color w:val="000000"/>
          <w:sz w:val="28"/>
        </w:rPr>
        <w:t>
      4) жаңа білімді жинақтау мен трансферттеу үшін іргелі және қолданбалы ғылыми зерттеулердің нәтижелерін пайдаланады;</w:t>
      </w:r>
      <w:r>
        <w:br/>
      </w:r>
      <w:r>
        <w:rPr>
          <w:rFonts w:ascii="Times New Roman"/>
          <w:b w:val="false"/>
          <w:i w:val="false"/>
          <w:color w:val="000000"/>
          <w:sz w:val="28"/>
        </w:rPr>
        <w:t>
</w:t>
      </w:r>
      <w:r>
        <w:rPr>
          <w:rFonts w:ascii="Times New Roman"/>
          <w:b w:val="false"/>
          <w:i w:val="false"/>
          <w:color w:val="000000"/>
          <w:sz w:val="28"/>
        </w:rPr>
        <w:t>
      5) лицензиат негізі жұмыс орны болып табылатын оқытушылар санынан ғылыми дәрежелі және ғылыми атақтары бар оқытушылардың үлесі - 70%-дан кем емес;</w:t>
      </w:r>
      <w:r>
        <w:br/>
      </w:r>
      <w:r>
        <w:rPr>
          <w:rFonts w:ascii="Times New Roman"/>
          <w:b w:val="false"/>
          <w:i w:val="false"/>
          <w:color w:val="000000"/>
          <w:sz w:val="28"/>
        </w:rPr>
        <w:t>
</w:t>
      </w:r>
      <w:r>
        <w:rPr>
          <w:rFonts w:ascii="Times New Roman"/>
          <w:b w:val="false"/>
          <w:i w:val="false"/>
          <w:color w:val="000000"/>
          <w:sz w:val="28"/>
        </w:rPr>
        <w:t>
      6) жоғары оқу орны негізгі жұмыс орны болып табылатын оқытушылар санынан ғылыми дәрежелері және ғылыми атақтары бар оқытушылардың үлесі – 15%-дан кем емес;</w:t>
      </w:r>
      <w:r>
        <w:br/>
      </w:r>
      <w:r>
        <w:rPr>
          <w:rFonts w:ascii="Times New Roman"/>
          <w:b w:val="false"/>
          <w:i w:val="false"/>
          <w:color w:val="000000"/>
          <w:sz w:val="28"/>
        </w:rPr>
        <w:t>
</w:t>
      </w:r>
      <w:r>
        <w:rPr>
          <w:rFonts w:ascii="Times New Roman"/>
          <w:b w:val="false"/>
          <w:i w:val="false"/>
          <w:color w:val="000000"/>
          <w:sz w:val="28"/>
        </w:rPr>
        <w:t>
      7) білім алушылардың жалпы контингентінен жоғары оқу орнынан кейінгі білім беру бағдарламаларында білім алатын магистранттардың және докторанттардың үлесі - 15% -дан кем емес;</w:t>
      </w:r>
      <w:r>
        <w:br/>
      </w:r>
      <w:r>
        <w:rPr>
          <w:rFonts w:ascii="Times New Roman"/>
          <w:b w:val="false"/>
          <w:i w:val="false"/>
          <w:color w:val="000000"/>
          <w:sz w:val="28"/>
        </w:rPr>
        <w:t>
</w:t>
      </w:r>
      <w:r>
        <w:rPr>
          <w:rFonts w:ascii="Times New Roman"/>
          <w:b w:val="false"/>
          <w:i w:val="false"/>
          <w:color w:val="000000"/>
          <w:sz w:val="28"/>
        </w:rPr>
        <w:t>
      8) Times Higher Education World University Rankings рейтингісіне сәйкес әлемнің үздік 200 университетінің қатарына кіретін шетелдік ЖОО – әріптестердің қатысуымен әзірленген жоғары оқу орнынан кейінгі бағдарламалардың үлесі – 20%-дан кем емес;</w:t>
      </w:r>
      <w:r>
        <w:br/>
      </w:r>
      <w:r>
        <w:rPr>
          <w:rFonts w:ascii="Times New Roman"/>
          <w:b w:val="false"/>
          <w:i w:val="false"/>
          <w:color w:val="000000"/>
          <w:sz w:val="28"/>
        </w:rPr>
        <w:t>
</w:t>
      </w:r>
      <w:r>
        <w:rPr>
          <w:rFonts w:ascii="Times New Roman"/>
          <w:b w:val="false"/>
          <w:i w:val="false"/>
          <w:color w:val="000000"/>
          <w:sz w:val="28"/>
        </w:rPr>
        <w:t>
      9) ғылыми-педагогикалық қызметкерлердің жалпы санындағы шақырылған шетелдік оқытушылар мен зерттеушілердің үлесі – 12%-дан кем емес;</w:t>
      </w:r>
      <w:r>
        <w:br/>
      </w:r>
      <w:r>
        <w:rPr>
          <w:rFonts w:ascii="Times New Roman"/>
          <w:b w:val="false"/>
          <w:i w:val="false"/>
          <w:color w:val="000000"/>
          <w:sz w:val="28"/>
        </w:rPr>
        <w:t>
</w:t>
      </w:r>
      <w:r>
        <w:rPr>
          <w:rFonts w:ascii="Times New Roman"/>
          <w:b w:val="false"/>
          <w:i w:val="false"/>
          <w:color w:val="000000"/>
          <w:sz w:val="28"/>
        </w:rPr>
        <w:t>
      10) шетелдік оқытушылармен/зерттеушілермен бірлескен авторлықтағы ғылыми мақалалардың үлесі - соңғы 3 жыл ішінде Web of Science немесе Scopus деп индекстелетін халықаралық рейтингтік журналдарда жарияланған ғылыми мақалалардың жалпы санынан 10%-дан кем емес;</w:t>
      </w:r>
      <w:r>
        <w:br/>
      </w:r>
      <w:r>
        <w:rPr>
          <w:rFonts w:ascii="Times New Roman"/>
          <w:b w:val="false"/>
          <w:i w:val="false"/>
          <w:color w:val="000000"/>
          <w:sz w:val="28"/>
        </w:rPr>
        <w:t>
</w:t>
      </w:r>
      <w:r>
        <w:rPr>
          <w:rFonts w:ascii="Times New Roman"/>
          <w:b w:val="false"/>
          <w:i w:val="false"/>
          <w:color w:val="000000"/>
          <w:sz w:val="28"/>
        </w:rPr>
        <w:t>
      11) тиісті мамандық немесе тиісті мамандықтың бейіні бойынша бір ғылым докторының немесе екі ғылым кандидатының немесе екі философия (PhD) докторының болуы;</w:t>
      </w:r>
      <w:r>
        <w:br/>
      </w:r>
      <w:r>
        <w:rPr>
          <w:rFonts w:ascii="Times New Roman"/>
          <w:b w:val="false"/>
          <w:i w:val="false"/>
          <w:color w:val="000000"/>
          <w:sz w:val="28"/>
        </w:rPr>
        <w:t>
</w:t>
      </w:r>
      <w:r>
        <w:rPr>
          <w:rFonts w:ascii="Times New Roman"/>
          <w:b w:val="false"/>
          <w:i w:val="false"/>
          <w:color w:val="000000"/>
          <w:sz w:val="28"/>
        </w:rPr>
        <w:t>
      12) соңғы 3 жыл ішінде Web of Science немесе Scopus деп индекстелетін халықаралық рейтингтік журналдарда жарияланған ғылыми мақалалар санының ғылыми-педагогикалық қызметкерлердің жалпы санымен арақатынасы – 1:3-тен кем емес;</w:t>
      </w:r>
      <w:r>
        <w:br/>
      </w:r>
      <w:r>
        <w:rPr>
          <w:rFonts w:ascii="Times New Roman"/>
          <w:b w:val="false"/>
          <w:i w:val="false"/>
          <w:color w:val="000000"/>
          <w:sz w:val="28"/>
        </w:rPr>
        <w:t>
</w:t>
      </w:r>
      <w:r>
        <w:rPr>
          <w:rFonts w:ascii="Times New Roman"/>
          <w:b w:val="false"/>
          <w:i w:val="false"/>
          <w:color w:val="000000"/>
          <w:sz w:val="28"/>
        </w:rPr>
        <w:t>
      13) соңғы 5 жыл ішінде Web of Science немесе Scopus деп индекстелетін халықаралық рейтингтік журналдарда жарияланған ғылыми мақалалардан дәйексөз келтірудің орташа деңгейі – 2.0 кем емес;</w:t>
      </w:r>
      <w:r>
        <w:br/>
      </w:r>
      <w:r>
        <w:rPr>
          <w:rFonts w:ascii="Times New Roman"/>
          <w:b w:val="false"/>
          <w:i w:val="false"/>
          <w:color w:val="000000"/>
          <w:sz w:val="28"/>
        </w:rPr>
        <w:t>
</w:t>
      </w:r>
      <w:r>
        <w:rPr>
          <w:rFonts w:ascii="Times New Roman"/>
          <w:b w:val="false"/>
          <w:i w:val="false"/>
          <w:color w:val="000000"/>
          <w:sz w:val="28"/>
        </w:rPr>
        <w:t>
      14) ғылыми-педагогикалық қызметкерлердің бірлігіне шаққанда соңғы 3 жыл ішінде жеке компанияларға, ұйымдарға және қорларға (соның ішінде халықаралық) жұмыстарды орындау/қызметтер көрсету нәтижесінде алынған жалпы табыс сомасы – ғылыми-педагогикалық қызметкерлердің бірлігіне – 500 мың теңгеден кем емес.</w:t>
      </w:r>
      <w:r>
        <w:br/>
      </w:r>
      <w:r>
        <w:rPr>
          <w:rFonts w:ascii="Times New Roman"/>
          <w:b w:val="false"/>
          <w:i w:val="false"/>
          <w:color w:val="000000"/>
          <w:sz w:val="28"/>
        </w:rPr>
        <w:t>
</w:t>
      </w:r>
      <w:r>
        <w:rPr>
          <w:rFonts w:ascii="Times New Roman"/>
          <w:b w:val="false"/>
          <w:i w:val="false"/>
          <w:color w:val="000000"/>
          <w:sz w:val="28"/>
        </w:rPr>
        <w:t>
      7. Зерттеу университетінің критерийлері:</w:t>
      </w:r>
      <w:r>
        <w:br/>
      </w:r>
      <w:r>
        <w:rPr>
          <w:rFonts w:ascii="Times New Roman"/>
          <w:b w:val="false"/>
          <w:i w:val="false"/>
          <w:color w:val="000000"/>
          <w:sz w:val="28"/>
        </w:rPr>
        <w:t>
</w:t>
      </w:r>
      <w:r>
        <w:rPr>
          <w:rFonts w:ascii="Times New Roman"/>
          <w:b w:val="false"/>
          <w:i w:val="false"/>
          <w:color w:val="000000"/>
          <w:sz w:val="28"/>
        </w:rPr>
        <w:t>
      1) «Ғылым туралы» Қазақстан Республикасының 2011 жылғы 18 ақпандағы Заңының </w:t>
      </w:r>
      <w:r>
        <w:rPr>
          <w:rFonts w:ascii="Times New Roman"/>
          <w:b w:val="false"/>
          <w:i w:val="false"/>
          <w:color w:val="000000"/>
          <w:sz w:val="28"/>
        </w:rPr>
        <w:t>10-бабына</w:t>
      </w:r>
      <w:r>
        <w:rPr>
          <w:rFonts w:ascii="Times New Roman"/>
          <w:b w:val="false"/>
          <w:i w:val="false"/>
          <w:color w:val="000000"/>
          <w:sz w:val="28"/>
        </w:rPr>
        <w:t xml:space="preserve"> сәйкес; </w:t>
      </w:r>
      <w:r>
        <w:br/>
      </w:r>
      <w:r>
        <w:rPr>
          <w:rFonts w:ascii="Times New Roman"/>
          <w:b w:val="false"/>
          <w:i w:val="false"/>
          <w:color w:val="000000"/>
          <w:sz w:val="28"/>
        </w:rPr>
        <w:t>
</w:t>
      </w:r>
      <w:r>
        <w:rPr>
          <w:rFonts w:ascii="Times New Roman"/>
          <w:b w:val="false"/>
          <w:i w:val="false"/>
          <w:color w:val="000000"/>
          <w:sz w:val="28"/>
        </w:rPr>
        <w:t>
      2) бес жылға арналған даму бағдарламасының жобасы бар;</w:t>
      </w:r>
      <w:r>
        <w:br/>
      </w:r>
      <w:r>
        <w:rPr>
          <w:rFonts w:ascii="Times New Roman"/>
          <w:b w:val="false"/>
          <w:i w:val="false"/>
          <w:color w:val="000000"/>
          <w:sz w:val="28"/>
        </w:rPr>
        <w:t>
</w:t>
      </w:r>
      <w:r>
        <w:rPr>
          <w:rFonts w:ascii="Times New Roman"/>
          <w:b w:val="false"/>
          <w:i w:val="false"/>
          <w:color w:val="000000"/>
          <w:sz w:val="28"/>
        </w:rPr>
        <w:t>
      3) мамандықтардың үш және одан да көп тобы бойынша жоғары және жоғары оқу орнынан кейінгі білім берудің өз бетінше әзірленген білім беретін оқу бағдарламаларын іске асырады;</w:t>
      </w:r>
      <w:r>
        <w:br/>
      </w:r>
      <w:r>
        <w:rPr>
          <w:rFonts w:ascii="Times New Roman"/>
          <w:b w:val="false"/>
          <w:i w:val="false"/>
          <w:color w:val="000000"/>
          <w:sz w:val="28"/>
        </w:rPr>
        <w:t>
</w:t>
      </w:r>
      <w:r>
        <w:rPr>
          <w:rFonts w:ascii="Times New Roman"/>
          <w:b w:val="false"/>
          <w:i w:val="false"/>
          <w:color w:val="000000"/>
          <w:sz w:val="28"/>
        </w:rPr>
        <w:t>
      4) жаңа білімді жинақтау мен трансферттеу үшін іргелі және қолданбалы ғылыми зерттеу нәтижелерін пайдаланады;</w:t>
      </w:r>
      <w:r>
        <w:br/>
      </w:r>
      <w:r>
        <w:rPr>
          <w:rFonts w:ascii="Times New Roman"/>
          <w:b w:val="false"/>
          <w:i w:val="false"/>
          <w:color w:val="000000"/>
          <w:sz w:val="28"/>
        </w:rPr>
        <w:t>
</w:t>
      </w:r>
      <w:r>
        <w:rPr>
          <w:rFonts w:ascii="Times New Roman"/>
          <w:b w:val="false"/>
          <w:i w:val="false"/>
          <w:color w:val="000000"/>
          <w:sz w:val="28"/>
        </w:rPr>
        <w:t>
      5) бес жылда кемiнде бiр рет оқытушылардың біліктілігін арттыруды қамтамасыз етеді;</w:t>
      </w:r>
      <w:r>
        <w:br/>
      </w:r>
      <w:r>
        <w:rPr>
          <w:rFonts w:ascii="Times New Roman"/>
          <w:b w:val="false"/>
          <w:i w:val="false"/>
          <w:color w:val="000000"/>
          <w:sz w:val="28"/>
        </w:rPr>
        <w:t>
</w:t>
      </w:r>
      <w:r>
        <w:rPr>
          <w:rFonts w:ascii="Times New Roman"/>
          <w:b w:val="false"/>
          <w:i w:val="false"/>
          <w:color w:val="000000"/>
          <w:sz w:val="28"/>
        </w:rPr>
        <w:t>
      6) жоғары оқу орны негізгі жұмыс орны болып табылатын оқытушылар санынан ғылыми дәрежелері және ғылыми атақтары бар оқытушылардың үлесі – 70%-дан кем емес;</w:t>
      </w:r>
      <w:r>
        <w:br/>
      </w:r>
      <w:r>
        <w:rPr>
          <w:rFonts w:ascii="Times New Roman"/>
          <w:b w:val="false"/>
          <w:i w:val="false"/>
          <w:color w:val="000000"/>
          <w:sz w:val="28"/>
        </w:rPr>
        <w:t>
</w:t>
      </w:r>
      <w:r>
        <w:rPr>
          <w:rFonts w:ascii="Times New Roman"/>
          <w:b w:val="false"/>
          <w:i w:val="false"/>
          <w:color w:val="000000"/>
          <w:sz w:val="28"/>
        </w:rPr>
        <w:t>
      7) білім алушылардың жалпы контингентінен үлесінен жоғары оқу орнынан кейінгі білім беру бағдарламаларында білім алатын магистранттардың және докторанттардың үлесі – 10%-дан кем емес;</w:t>
      </w:r>
      <w:r>
        <w:br/>
      </w:r>
      <w:r>
        <w:rPr>
          <w:rFonts w:ascii="Times New Roman"/>
          <w:b w:val="false"/>
          <w:i w:val="false"/>
          <w:color w:val="000000"/>
          <w:sz w:val="28"/>
        </w:rPr>
        <w:t>
</w:t>
      </w:r>
      <w:r>
        <w:rPr>
          <w:rFonts w:ascii="Times New Roman"/>
          <w:b w:val="false"/>
          <w:i w:val="false"/>
          <w:color w:val="000000"/>
          <w:sz w:val="28"/>
        </w:rPr>
        <w:t>
      8) Times Higher Education World University Rankings рейтингісіне сәйкес әлемнің үздік 200 университетінің қатарына кіретін шетелдік ЖОО – әріптестердің қатысуымен әзірленген жоғары оқу орнынан кейінгі бағдарламалардың үлесі – 15%-дан кем емес;</w:t>
      </w:r>
      <w:r>
        <w:br/>
      </w:r>
      <w:r>
        <w:rPr>
          <w:rFonts w:ascii="Times New Roman"/>
          <w:b w:val="false"/>
          <w:i w:val="false"/>
          <w:color w:val="000000"/>
          <w:sz w:val="28"/>
        </w:rPr>
        <w:t>
</w:t>
      </w:r>
      <w:r>
        <w:rPr>
          <w:rFonts w:ascii="Times New Roman"/>
          <w:b w:val="false"/>
          <w:i w:val="false"/>
          <w:color w:val="000000"/>
          <w:sz w:val="28"/>
        </w:rPr>
        <w:t>
      9) ғылыми-педагогикалық қызметкерлердің жалпы санындағы шақырылған шетелдік оқытушылар мен зерттеушілердің үлесі - 10%-дан кем емес;</w:t>
      </w:r>
      <w:r>
        <w:br/>
      </w:r>
      <w:r>
        <w:rPr>
          <w:rFonts w:ascii="Times New Roman"/>
          <w:b w:val="false"/>
          <w:i w:val="false"/>
          <w:color w:val="000000"/>
          <w:sz w:val="28"/>
        </w:rPr>
        <w:t>
</w:t>
      </w:r>
      <w:r>
        <w:rPr>
          <w:rFonts w:ascii="Times New Roman"/>
          <w:b w:val="false"/>
          <w:i w:val="false"/>
          <w:color w:val="000000"/>
          <w:sz w:val="28"/>
        </w:rPr>
        <w:t>
      10) шетелдік оқытушылармен/зерттеушілермен бірлескен авторлықтағы ғылыми мақалалардың үлесі - соңғы 3 жыл ішінде Web of Science немесе Scopus деп индекстелетін халықаралық рейтингтік журналдарда жарияланған ғылыми мақалалардың жалпы санының 7%-дан кем емес;</w:t>
      </w:r>
      <w:r>
        <w:br/>
      </w:r>
      <w:r>
        <w:rPr>
          <w:rFonts w:ascii="Times New Roman"/>
          <w:b w:val="false"/>
          <w:i w:val="false"/>
          <w:color w:val="000000"/>
          <w:sz w:val="28"/>
        </w:rPr>
        <w:t>
</w:t>
      </w:r>
      <w:r>
        <w:rPr>
          <w:rFonts w:ascii="Times New Roman"/>
          <w:b w:val="false"/>
          <w:i w:val="false"/>
          <w:color w:val="000000"/>
          <w:sz w:val="28"/>
        </w:rPr>
        <w:t>
      11) тиісті мамандық бойынша немесе тиісті мамандықтың бейіні бойынша бір ғылым докторының немесе екі ғылым кандидатының немесе екі философия (PhD) докторының болуы;</w:t>
      </w:r>
      <w:r>
        <w:br/>
      </w:r>
      <w:r>
        <w:rPr>
          <w:rFonts w:ascii="Times New Roman"/>
          <w:b w:val="false"/>
          <w:i w:val="false"/>
          <w:color w:val="000000"/>
          <w:sz w:val="28"/>
        </w:rPr>
        <w:t>
</w:t>
      </w:r>
      <w:r>
        <w:rPr>
          <w:rFonts w:ascii="Times New Roman"/>
          <w:b w:val="false"/>
          <w:i w:val="false"/>
          <w:color w:val="000000"/>
          <w:sz w:val="28"/>
        </w:rPr>
        <w:t>
      12) соңғы 3 жыл ішінде Web of Science немесе Scopus деп индекстелетін халықаралық рейтингтік журналдарда жарияланған ғылыми мақалалар санының ғылыми-педагогикалық қызметкерлердің жалпы санымен арақатынасы: 1:4-тен кем емес;</w:t>
      </w:r>
      <w:r>
        <w:br/>
      </w:r>
      <w:r>
        <w:rPr>
          <w:rFonts w:ascii="Times New Roman"/>
          <w:b w:val="false"/>
          <w:i w:val="false"/>
          <w:color w:val="000000"/>
          <w:sz w:val="28"/>
        </w:rPr>
        <w:t>
</w:t>
      </w:r>
      <w:r>
        <w:rPr>
          <w:rFonts w:ascii="Times New Roman"/>
          <w:b w:val="false"/>
          <w:i w:val="false"/>
          <w:color w:val="000000"/>
          <w:sz w:val="28"/>
        </w:rPr>
        <w:t>
      13) соңғы 5 жыл ішінде Web of Science немесе Scopus деп индекстелетін халықаралық рейтингтік журналдарда жарияланған ғылыми мақалалардан дәйексөз келтірудің орташа деңгейі – 1.8 кем емес;</w:t>
      </w:r>
      <w:r>
        <w:br/>
      </w:r>
      <w:r>
        <w:rPr>
          <w:rFonts w:ascii="Times New Roman"/>
          <w:b w:val="false"/>
          <w:i w:val="false"/>
          <w:color w:val="000000"/>
          <w:sz w:val="28"/>
        </w:rPr>
        <w:t>
</w:t>
      </w:r>
      <w:r>
        <w:rPr>
          <w:rFonts w:ascii="Times New Roman"/>
          <w:b w:val="false"/>
          <w:i w:val="false"/>
          <w:color w:val="000000"/>
          <w:sz w:val="28"/>
        </w:rPr>
        <w:t>
      14) ғылыми-педагогикалық қызметкерлердің бірлігіне шаққанда соңғы 3 жыл ішінде жеке компанияларға, ұйымдарға және қорларға (соның ішінде халықаралық) жұмыстарды орындау / қызметтер көрсету нәтижесінде алынған жалпы табыс сомасы – ғылыми-педагогикалық қызметкерлердің бірлігіне 300 мың теңгеден кем емес.</w:t>
      </w:r>
      <w:r>
        <w:br/>
      </w:r>
      <w:r>
        <w:rPr>
          <w:rFonts w:ascii="Times New Roman"/>
          <w:b w:val="false"/>
          <w:i w:val="false"/>
          <w:color w:val="000000"/>
          <w:sz w:val="28"/>
        </w:rPr>
        <w:t>
</w:t>
      </w:r>
      <w:r>
        <w:rPr>
          <w:rFonts w:ascii="Times New Roman"/>
          <w:b w:val="false"/>
          <w:i w:val="false"/>
          <w:color w:val="000000"/>
          <w:sz w:val="28"/>
        </w:rPr>
        <w:t>
      8. Ұлттық жоғары оқу орнының критерийлері:</w:t>
      </w:r>
      <w:r>
        <w:br/>
      </w:r>
      <w:r>
        <w:rPr>
          <w:rFonts w:ascii="Times New Roman"/>
          <w:b w:val="false"/>
          <w:i w:val="false"/>
          <w:color w:val="000000"/>
          <w:sz w:val="28"/>
        </w:rPr>
        <w:t>
</w:t>
      </w:r>
      <w:r>
        <w:rPr>
          <w:rFonts w:ascii="Times New Roman"/>
          <w:b w:val="false"/>
          <w:i w:val="false"/>
          <w:color w:val="000000"/>
          <w:sz w:val="28"/>
        </w:rPr>
        <w:t>
      1) ерекше мәртебесі бар жоғары оқу орны;</w:t>
      </w:r>
      <w:r>
        <w:br/>
      </w:r>
      <w:r>
        <w:rPr>
          <w:rFonts w:ascii="Times New Roman"/>
          <w:b w:val="false"/>
          <w:i w:val="false"/>
          <w:color w:val="000000"/>
          <w:sz w:val="28"/>
        </w:rPr>
        <w:t>
</w:t>
      </w:r>
      <w:r>
        <w:rPr>
          <w:rFonts w:ascii="Times New Roman"/>
          <w:b w:val="false"/>
          <w:i w:val="false"/>
          <w:color w:val="000000"/>
          <w:sz w:val="28"/>
        </w:rPr>
        <w:t>
      2) елдің жетекші ғылыми және әдістемелік орталығы болып табылады</w:t>
      </w:r>
      <w:r>
        <w:br/>
      </w:r>
      <w:r>
        <w:rPr>
          <w:rFonts w:ascii="Times New Roman"/>
          <w:b w:val="false"/>
          <w:i w:val="false"/>
          <w:color w:val="000000"/>
          <w:sz w:val="28"/>
        </w:rPr>
        <w:t>
</w:t>
      </w:r>
      <w:r>
        <w:rPr>
          <w:rFonts w:ascii="Times New Roman"/>
          <w:b w:val="false"/>
          <w:i w:val="false"/>
          <w:color w:val="000000"/>
          <w:sz w:val="28"/>
        </w:rPr>
        <w:t>
      3) бес жылда кемiнде бiр рет оқытушылардың біліктілігін арттыруды қамтамасыз етеді;</w:t>
      </w:r>
      <w:r>
        <w:br/>
      </w:r>
      <w:r>
        <w:rPr>
          <w:rFonts w:ascii="Times New Roman"/>
          <w:b w:val="false"/>
          <w:i w:val="false"/>
          <w:color w:val="000000"/>
          <w:sz w:val="28"/>
        </w:rPr>
        <w:t>
</w:t>
      </w:r>
      <w:r>
        <w:rPr>
          <w:rFonts w:ascii="Times New Roman"/>
          <w:b w:val="false"/>
          <w:i w:val="false"/>
          <w:color w:val="000000"/>
          <w:sz w:val="28"/>
        </w:rPr>
        <w:t>
      4) жоғары оқу орны негізгі жұмыс орны болып табылатын оқытушылар санынан ғылыми дәрежелері және ғылыми атақтары бар оқытушылардың үлесі – 55%-дан кем емес;</w:t>
      </w:r>
      <w:r>
        <w:br/>
      </w:r>
      <w:r>
        <w:rPr>
          <w:rFonts w:ascii="Times New Roman"/>
          <w:b w:val="false"/>
          <w:i w:val="false"/>
          <w:color w:val="000000"/>
          <w:sz w:val="28"/>
        </w:rPr>
        <w:t>
</w:t>
      </w:r>
      <w:r>
        <w:rPr>
          <w:rFonts w:ascii="Times New Roman"/>
          <w:b w:val="false"/>
          <w:i w:val="false"/>
          <w:color w:val="000000"/>
          <w:sz w:val="28"/>
        </w:rPr>
        <w:t>
      5) тиісті мамандық бойынша немесе тиісті мамандықтың бейіні бойынша бір ғылым докторының немесе екі ғылым кандидатының немесе екі философия (PhD) докторының болуы.</w:t>
      </w:r>
      <w:r>
        <w:br/>
      </w:r>
      <w:r>
        <w:rPr>
          <w:rFonts w:ascii="Times New Roman"/>
          <w:b w:val="false"/>
          <w:i w:val="false"/>
          <w:color w:val="000000"/>
          <w:sz w:val="28"/>
        </w:rPr>
        <w:t>
</w:t>
      </w:r>
      <w:r>
        <w:rPr>
          <w:rFonts w:ascii="Times New Roman"/>
          <w:b w:val="false"/>
          <w:i w:val="false"/>
          <w:color w:val="000000"/>
          <w:sz w:val="28"/>
        </w:rPr>
        <w:t>
      9. Университеттің критерийлері:</w:t>
      </w:r>
      <w:r>
        <w:br/>
      </w:r>
      <w:r>
        <w:rPr>
          <w:rFonts w:ascii="Times New Roman"/>
          <w:b w:val="false"/>
          <w:i w:val="false"/>
          <w:color w:val="000000"/>
          <w:sz w:val="28"/>
        </w:rPr>
        <w:t>
</w:t>
      </w:r>
      <w:r>
        <w:rPr>
          <w:rFonts w:ascii="Times New Roman"/>
          <w:b w:val="false"/>
          <w:i w:val="false"/>
          <w:color w:val="000000"/>
          <w:sz w:val="28"/>
        </w:rPr>
        <w:t>
      1) мамандықтардың үш және одан да көп тобы бойынша жоғары және жоғары оқу орнынан кейінгі білім беру бағдарламаларын іске асырады;</w:t>
      </w:r>
      <w:r>
        <w:br/>
      </w:r>
      <w:r>
        <w:rPr>
          <w:rFonts w:ascii="Times New Roman"/>
          <w:b w:val="false"/>
          <w:i w:val="false"/>
          <w:color w:val="000000"/>
          <w:sz w:val="28"/>
        </w:rPr>
        <w:t>
</w:t>
      </w:r>
      <w:r>
        <w:rPr>
          <w:rFonts w:ascii="Times New Roman"/>
          <w:b w:val="false"/>
          <w:i w:val="false"/>
          <w:color w:val="000000"/>
          <w:sz w:val="28"/>
        </w:rPr>
        <w:t>
      2) іргелі және қолданбалы зерттеулерді жүзеге асырады;</w:t>
      </w:r>
      <w:r>
        <w:br/>
      </w:r>
      <w:r>
        <w:rPr>
          <w:rFonts w:ascii="Times New Roman"/>
          <w:b w:val="false"/>
          <w:i w:val="false"/>
          <w:color w:val="000000"/>
          <w:sz w:val="28"/>
        </w:rPr>
        <w:t>
</w:t>
      </w:r>
      <w:r>
        <w:rPr>
          <w:rFonts w:ascii="Times New Roman"/>
          <w:b w:val="false"/>
          <w:i w:val="false"/>
          <w:color w:val="000000"/>
          <w:sz w:val="28"/>
        </w:rPr>
        <w:t>
      3) ғылыми және әдістемелік орталық болып табылады;</w:t>
      </w:r>
      <w:r>
        <w:br/>
      </w:r>
      <w:r>
        <w:rPr>
          <w:rFonts w:ascii="Times New Roman"/>
          <w:b w:val="false"/>
          <w:i w:val="false"/>
          <w:color w:val="000000"/>
          <w:sz w:val="28"/>
        </w:rPr>
        <w:t>
</w:t>
      </w:r>
      <w:r>
        <w:rPr>
          <w:rFonts w:ascii="Times New Roman"/>
          <w:b w:val="false"/>
          <w:i w:val="false"/>
          <w:color w:val="000000"/>
          <w:sz w:val="28"/>
        </w:rPr>
        <w:t>
      4) лицензиат негізгі жұмыс орны болып табылатын оқытушылар санынан, ғылыми дәрежелері және ғылыми атақтары бар оқытушылардың үлесі – 50%-дан кем емес;</w:t>
      </w:r>
      <w:r>
        <w:br/>
      </w:r>
      <w:r>
        <w:rPr>
          <w:rFonts w:ascii="Times New Roman"/>
          <w:b w:val="false"/>
          <w:i w:val="false"/>
          <w:color w:val="000000"/>
          <w:sz w:val="28"/>
        </w:rPr>
        <w:t>
</w:t>
      </w:r>
      <w:r>
        <w:rPr>
          <w:rFonts w:ascii="Times New Roman"/>
          <w:b w:val="false"/>
          <w:i w:val="false"/>
          <w:color w:val="000000"/>
          <w:sz w:val="28"/>
        </w:rPr>
        <w:t>
      5) бес жылда кемiнде бiр рет оқытушылардың біліктілігін арттыруды қамтамасыз етеді;</w:t>
      </w:r>
      <w:r>
        <w:br/>
      </w:r>
      <w:r>
        <w:rPr>
          <w:rFonts w:ascii="Times New Roman"/>
          <w:b w:val="false"/>
          <w:i w:val="false"/>
          <w:color w:val="000000"/>
          <w:sz w:val="28"/>
        </w:rPr>
        <w:t>
</w:t>
      </w:r>
      <w:r>
        <w:rPr>
          <w:rFonts w:ascii="Times New Roman"/>
          <w:b w:val="false"/>
          <w:i w:val="false"/>
          <w:color w:val="000000"/>
          <w:sz w:val="28"/>
        </w:rPr>
        <w:t>
      6) тиісті мамандық бойынша бір ғылым докторының немесе екі ғылым кандидатының немесе екі философия (PhD) докторының болуы.</w:t>
      </w:r>
      <w:r>
        <w:br/>
      </w:r>
      <w:r>
        <w:rPr>
          <w:rFonts w:ascii="Times New Roman"/>
          <w:b w:val="false"/>
          <w:i w:val="false"/>
          <w:color w:val="000000"/>
          <w:sz w:val="28"/>
        </w:rPr>
        <w:t>
</w:t>
      </w:r>
      <w:r>
        <w:rPr>
          <w:rFonts w:ascii="Times New Roman"/>
          <w:b w:val="false"/>
          <w:i w:val="false"/>
          <w:color w:val="000000"/>
          <w:sz w:val="28"/>
        </w:rPr>
        <w:t>
      10. Академияның критерийлері:</w:t>
      </w:r>
      <w:r>
        <w:br/>
      </w:r>
      <w:r>
        <w:rPr>
          <w:rFonts w:ascii="Times New Roman"/>
          <w:b w:val="false"/>
          <w:i w:val="false"/>
          <w:color w:val="000000"/>
          <w:sz w:val="28"/>
        </w:rPr>
        <w:t>
</w:t>
      </w:r>
      <w:r>
        <w:rPr>
          <w:rFonts w:ascii="Times New Roman"/>
          <w:b w:val="false"/>
          <w:i w:val="false"/>
          <w:color w:val="000000"/>
          <w:sz w:val="28"/>
        </w:rPr>
        <w:t>
      1) мамандықтардың бір-екі тобы бойынша жоғары және жоғары оқу орнынан кейінгі білім беру бағдарламаларын іске асырады;</w:t>
      </w:r>
      <w:r>
        <w:br/>
      </w:r>
      <w:r>
        <w:rPr>
          <w:rFonts w:ascii="Times New Roman"/>
          <w:b w:val="false"/>
          <w:i w:val="false"/>
          <w:color w:val="000000"/>
          <w:sz w:val="28"/>
        </w:rPr>
        <w:t>
</w:t>
      </w:r>
      <w:r>
        <w:rPr>
          <w:rFonts w:ascii="Times New Roman"/>
          <w:b w:val="false"/>
          <w:i w:val="false"/>
          <w:color w:val="000000"/>
          <w:sz w:val="28"/>
        </w:rPr>
        <w:t>
      2) жоғары оқу орны негізгі жұмыс орны болып табылатын оқытушылар санынан, ғылыми дәрежелері және ғылыми атақтары бар оқытушылардың үлесі – 50%-дан кем емес;</w:t>
      </w:r>
      <w:r>
        <w:br/>
      </w:r>
      <w:r>
        <w:rPr>
          <w:rFonts w:ascii="Times New Roman"/>
          <w:b w:val="false"/>
          <w:i w:val="false"/>
          <w:color w:val="000000"/>
          <w:sz w:val="28"/>
        </w:rPr>
        <w:t>
</w:t>
      </w:r>
      <w:r>
        <w:rPr>
          <w:rFonts w:ascii="Times New Roman"/>
          <w:b w:val="false"/>
          <w:i w:val="false"/>
          <w:color w:val="000000"/>
          <w:sz w:val="28"/>
        </w:rPr>
        <w:t>
      3) бес жылда кемiнде бiр рет оқытушылардың біліктілігін арттыруды қамтамасыз етеді;</w:t>
      </w:r>
      <w:r>
        <w:br/>
      </w:r>
      <w:r>
        <w:rPr>
          <w:rFonts w:ascii="Times New Roman"/>
          <w:b w:val="false"/>
          <w:i w:val="false"/>
          <w:color w:val="000000"/>
          <w:sz w:val="28"/>
        </w:rPr>
        <w:t>
</w:t>
      </w:r>
      <w:r>
        <w:rPr>
          <w:rFonts w:ascii="Times New Roman"/>
          <w:b w:val="false"/>
          <w:i w:val="false"/>
          <w:color w:val="000000"/>
          <w:sz w:val="28"/>
        </w:rPr>
        <w:t>
      4) тиісті мамандық бойынша немесе тиісті мамандықтың бейіні бойынша бір ғылым докторының немесе екі ғылым кандидатының немесе екі философия (PhD) докторының болуы.</w:t>
      </w:r>
      <w:r>
        <w:br/>
      </w:r>
      <w:r>
        <w:rPr>
          <w:rFonts w:ascii="Times New Roman"/>
          <w:b w:val="false"/>
          <w:i w:val="false"/>
          <w:color w:val="000000"/>
          <w:sz w:val="28"/>
        </w:rPr>
        <w:t>
</w:t>
      </w:r>
      <w:r>
        <w:rPr>
          <w:rFonts w:ascii="Times New Roman"/>
          <w:b w:val="false"/>
          <w:i w:val="false"/>
          <w:color w:val="000000"/>
          <w:sz w:val="28"/>
        </w:rPr>
        <w:t xml:space="preserve">
      11. Институттың критерийлері: </w:t>
      </w:r>
      <w:r>
        <w:br/>
      </w:r>
      <w:r>
        <w:rPr>
          <w:rFonts w:ascii="Times New Roman"/>
          <w:b w:val="false"/>
          <w:i w:val="false"/>
          <w:color w:val="000000"/>
          <w:sz w:val="28"/>
        </w:rPr>
        <w:t>
</w:t>
      </w:r>
      <w:r>
        <w:rPr>
          <w:rFonts w:ascii="Times New Roman"/>
          <w:b w:val="false"/>
          <w:i w:val="false"/>
          <w:color w:val="000000"/>
          <w:sz w:val="28"/>
        </w:rPr>
        <w:t>
      1) жоғары білімнің білім беру бағдарламаларын іске асырады;</w:t>
      </w:r>
      <w:r>
        <w:br/>
      </w:r>
      <w:r>
        <w:rPr>
          <w:rFonts w:ascii="Times New Roman"/>
          <w:b w:val="false"/>
          <w:i w:val="false"/>
          <w:color w:val="000000"/>
          <w:sz w:val="28"/>
        </w:rPr>
        <w:t>
</w:t>
      </w:r>
      <w:r>
        <w:rPr>
          <w:rFonts w:ascii="Times New Roman"/>
          <w:b w:val="false"/>
          <w:i w:val="false"/>
          <w:color w:val="000000"/>
          <w:sz w:val="28"/>
        </w:rPr>
        <w:t>
      2) бес жылда кемiнде бiр рет оқытушылардың біліктілігін арттыруды қамтамасыз етеді;</w:t>
      </w:r>
      <w:r>
        <w:br/>
      </w:r>
      <w:r>
        <w:rPr>
          <w:rFonts w:ascii="Times New Roman"/>
          <w:b w:val="false"/>
          <w:i w:val="false"/>
          <w:color w:val="000000"/>
          <w:sz w:val="28"/>
        </w:rPr>
        <w:t>
</w:t>
      </w:r>
      <w:r>
        <w:rPr>
          <w:rFonts w:ascii="Times New Roman"/>
          <w:b w:val="false"/>
          <w:i w:val="false"/>
          <w:color w:val="000000"/>
          <w:sz w:val="28"/>
        </w:rPr>
        <w:t>
      3) жоғары оқу орны негізгі жұмыс орны болып табылатын оқытушылар санынан, ғылыми дәрежелері және ғылыми атақтары бар оқытушылардың үлесі – 45%-дан кем емес;</w:t>
      </w:r>
      <w:r>
        <w:br/>
      </w:r>
      <w:r>
        <w:rPr>
          <w:rFonts w:ascii="Times New Roman"/>
          <w:b w:val="false"/>
          <w:i w:val="false"/>
          <w:color w:val="000000"/>
          <w:sz w:val="28"/>
        </w:rPr>
        <w:t>
</w:t>
      </w:r>
      <w:r>
        <w:rPr>
          <w:rFonts w:ascii="Times New Roman"/>
          <w:b w:val="false"/>
          <w:i w:val="false"/>
          <w:color w:val="000000"/>
          <w:sz w:val="28"/>
        </w:rPr>
        <w:t>
      4) тиісті мамандық бойынша немесе тиісті мамандықтың бейіні бойынша бір ғылым докторының немесе екі ғылым кандидатының немесе екі философия (PhD) докторының болуы.</w:t>
      </w:r>
      <w:r>
        <w:br/>
      </w:r>
      <w:r>
        <w:rPr>
          <w:rFonts w:ascii="Times New Roman"/>
          <w:b w:val="false"/>
          <w:i w:val="false"/>
          <w:color w:val="000000"/>
          <w:sz w:val="28"/>
        </w:rPr>
        <w:t>
</w:t>
      </w:r>
      <w:r>
        <w:rPr>
          <w:rFonts w:ascii="Times New Roman"/>
          <w:b w:val="false"/>
          <w:i w:val="false"/>
          <w:color w:val="000000"/>
          <w:sz w:val="28"/>
        </w:rPr>
        <w:t>
      12. Жоғары оқу орындарына теңестірілген ұйымдардың критерийлері (консерватория, жоғары мектеп, жоғары училище):</w:t>
      </w:r>
      <w:r>
        <w:br/>
      </w:r>
      <w:r>
        <w:rPr>
          <w:rFonts w:ascii="Times New Roman"/>
          <w:b w:val="false"/>
          <w:i w:val="false"/>
          <w:color w:val="000000"/>
          <w:sz w:val="28"/>
        </w:rPr>
        <w:t>
</w:t>
      </w:r>
      <w:r>
        <w:rPr>
          <w:rFonts w:ascii="Times New Roman"/>
          <w:b w:val="false"/>
          <w:i w:val="false"/>
          <w:color w:val="000000"/>
          <w:sz w:val="28"/>
        </w:rPr>
        <w:t>
      1) жоғары білімнің білім беру бағдарламаларын іске асырады;</w:t>
      </w:r>
      <w:r>
        <w:br/>
      </w:r>
      <w:r>
        <w:rPr>
          <w:rFonts w:ascii="Times New Roman"/>
          <w:b w:val="false"/>
          <w:i w:val="false"/>
          <w:color w:val="000000"/>
          <w:sz w:val="28"/>
        </w:rPr>
        <w:t>
</w:t>
      </w:r>
      <w:r>
        <w:rPr>
          <w:rFonts w:ascii="Times New Roman"/>
          <w:b w:val="false"/>
          <w:i w:val="false"/>
          <w:color w:val="000000"/>
          <w:sz w:val="28"/>
        </w:rPr>
        <w:t>
      2) бес жылда кемiнде бiр рет оқытушылардың біліктілігін арттыруды қамтамасыз етеді;</w:t>
      </w:r>
      <w:r>
        <w:br/>
      </w:r>
      <w:r>
        <w:rPr>
          <w:rFonts w:ascii="Times New Roman"/>
          <w:b w:val="false"/>
          <w:i w:val="false"/>
          <w:color w:val="000000"/>
          <w:sz w:val="28"/>
        </w:rPr>
        <w:t>
</w:t>
      </w:r>
      <w:r>
        <w:rPr>
          <w:rFonts w:ascii="Times New Roman"/>
          <w:b w:val="false"/>
          <w:i w:val="false"/>
          <w:color w:val="000000"/>
          <w:sz w:val="28"/>
        </w:rPr>
        <w:t>
      3) жоғары оқу орны негізгі жұмыс орны болып табылатын оқытушылар санынан, ғылыми дәрежелері және ғылыми атақтары бар оқытушылардың үлесі – 45%-дан кем емес;</w:t>
      </w:r>
      <w:r>
        <w:br/>
      </w:r>
      <w:r>
        <w:rPr>
          <w:rFonts w:ascii="Times New Roman"/>
          <w:b w:val="false"/>
          <w:i w:val="false"/>
          <w:color w:val="000000"/>
          <w:sz w:val="28"/>
        </w:rPr>
        <w:t>
</w:t>
      </w:r>
      <w:r>
        <w:rPr>
          <w:rFonts w:ascii="Times New Roman"/>
          <w:b w:val="false"/>
          <w:i w:val="false"/>
          <w:color w:val="000000"/>
          <w:sz w:val="28"/>
        </w:rPr>
        <w:t>
      4) тиісті мамандық бойынша немесе тиісті мамандықтың бейіні бойынша бір ғылым докторының немесе екі ғылым кандидатының немесе екі философия (PhD) докторының болуы.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