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dad2" w14:textId="837d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Автотұрақтар, автомобильге май құю станциялары орналасқан жер учаскелеріне салынатын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XXV сессиясының 2010 жылғы 8 қарашадағы N 282 шешімі. Қарағанды облысы Ұлытау ауданының Әділет басқармасында 2010 жылғы 10 желтоқсанда N 8-16-66 тіркелді. Күші жойылды - Қарағанды облысы Ұлытау аудандық мәслихатының XXX сессиясының 2011 жылғы 16 қыркүйектегі N 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Ұлытау аудандық мәслихатының XXX сессиясының 2011.09.16 N 360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 (Салық кодексі)"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Ұлытау ауданы бойынша салық басқармасының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Автотұрақтар, автомобильге май құю станциялары орналасқан төмендегі елді мекендер бойынша жер учаскелері үшін жер салығының ставкалары бір шаршы метрге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Ақтас, Қарсақпай, Жезді кенттерінде – 0,96 тг. х 10 есе = 9 теңге 60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Ұлытау селосымен басқа да селолық округтерде – 0,48 тг. х 10 есе = 4 теңге 80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Ақтаев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Сейтжанов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әкімі                     Ә.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Ә. Жандарбеков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17.11.2010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Г. Ауғанова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      Д. Жұманов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17.11.2010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