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cc09" w14:textId="9b7c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Министрліктер үйі ғимаратын салуды аяқтаудың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1331</w:t>
      </w:r>
    </w:p>
    <w:p>
      <w:pPr>
        <w:spacing w:after="0"/>
        <w:ind w:left="0"/>
        <w:jc w:val="both"/>
      </w:pPr>
      <w:bookmarkStart w:name="z0" w:id="0"/>
      <w:r>
        <w:rPr>
          <w:rFonts w:ascii="Times New Roman"/>
          <w:b w:val="false"/>
          <w:i w:val="false"/>
          <w:color w:val="000000"/>
          <w:sz w:val="28"/>
        </w:rPr>
        <w:t xml:space="preserve">
      Астана қаласындағы ғимараты салынып жатқан Министрліктер үйін пайдалануға уақытында беруді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министрлігінің: </w:t>
      </w:r>
      <w:r>
        <w:br/>
      </w:r>
      <w:r>
        <w:rPr>
          <w:rFonts w:ascii="Times New Roman"/>
          <w:b w:val="false"/>
          <w:i w:val="false"/>
          <w:color w:val="000000"/>
          <w:sz w:val="28"/>
        </w:rPr>
        <w:t xml:space="preserve">
      Министрліктер үйі ғимаратын салуға арналған бас мердігерлік шартында көзделмеген, көрсетілген шарт бойынша бас мердігер болып табылатын жауапкершілігі шектеулі серіктестік "Базис-А" корпорациясынан, бір көзден тауарларды, жұмыстарды және қызмет көрсетулерді мемлекеттік сатып алуды жүргізу туралы; </w:t>
      </w:r>
      <w:r>
        <w:br/>
      </w:r>
      <w:r>
        <w:rPr>
          <w:rFonts w:ascii="Times New Roman"/>
          <w:b w:val="false"/>
          <w:i w:val="false"/>
          <w:color w:val="000000"/>
          <w:sz w:val="28"/>
        </w:rPr>
        <w:t xml:space="preserve">
      Министрліктер үйінің ғимаратына орналастыруға жататын мемлекеттік органдар үшін жиһаз дайындаушы зауыт ерекшелігінің өзгерісін және сатып алынатын саны көлемінің азайтылуын ескере отырып, Министрліктер үйінің ғимараты үшін жиһаздарды жеткізуші болып табылатын "TBN" жауапкершілігі шектеулі серіктестігімен жасасқан 1998 жылғы 18 желтоқсандағы N 1 жиһаздарды жеткізу шартын қайта жасасу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1999.09.28. N 1461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P991461_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1999 жылдың 17 </w:t>
      </w:r>
    </w:p>
    <w:p>
      <w:pPr>
        <w:spacing w:after="0"/>
        <w:ind w:left="0"/>
        <w:jc w:val="both"/>
      </w:pPr>
      <w:r>
        <w:rPr>
          <w:rFonts w:ascii="Times New Roman"/>
          <w:b w:val="false"/>
          <w:i w:val="false"/>
          <w:color w:val="000000"/>
          <w:sz w:val="28"/>
        </w:rPr>
        <w:t xml:space="preserve">қыркүйегіне дейінгі мерзімде осы қаулының 1-тармағында көрсетілген </w:t>
      </w:r>
    </w:p>
    <w:p>
      <w:pPr>
        <w:spacing w:after="0"/>
        <w:ind w:left="0"/>
        <w:jc w:val="both"/>
      </w:pPr>
      <w:r>
        <w:rPr>
          <w:rFonts w:ascii="Times New Roman"/>
          <w:b w:val="false"/>
          <w:i w:val="false"/>
          <w:color w:val="000000"/>
          <w:sz w:val="28"/>
        </w:rPr>
        <w:t xml:space="preserve">мемлекеттік сатып алуды жүргізуді Қазақстан Республикасының Мемлекеттік </w:t>
      </w:r>
    </w:p>
    <w:p>
      <w:pPr>
        <w:spacing w:after="0"/>
        <w:ind w:left="0"/>
        <w:jc w:val="both"/>
      </w:pPr>
      <w:r>
        <w:rPr>
          <w:rFonts w:ascii="Times New Roman"/>
          <w:b w:val="false"/>
          <w:i w:val="false"/>
          <w:color w:val="000000"/>
          <w:sz w:val="28"/>
        </w:rPr>
        <w:t>сатып алу агенттігімен келіссін.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