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9b1b" w14:textId="4ed9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2025 жылғы 19 тамыздағы № 651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Көлік министрі Нұрлан Ермекұлы Сауранбаевқа 2003 жылғы 25 желтоқсандағы Қазақстан Республикасының Үкіметі мен Қырғыз Республикасының Үкіметі арасындағы мемлекеттік шекарасы арқылы өткізу пункттері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 </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келісімнің (бұдан әрі – Келісім) </w:t>
      </w:r>
      <w:r>
        <w:rPr>
          <w:rFonts w:ascii="Times New Roman"/>
          <w:b w:val="false"/>
          <w:i w:val="false"/>
          <w:color w:val="000000"/>
          <w:sz w:val="28"/>
        </w:rPr>
        <w:t>5-бабын басшылыққа ала отырып, төмендегілер туралы келісті:</w:t>
      </w:r>
    </w:p>
    <w:bookmarkEnd w:id="5"/>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Келісімге қосымшаның 6-тармағы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Төмөнкү-Чүй – автожолдық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облысы Соқұлық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–автожолдық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Келісімге қосымшаның 9-тармағы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қақпа –автожолдық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облысы Манас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 автожолдық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 Келiсiмнiң ажырамас бөлiгi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p>
      <w:pPr>
        <w:spacing w:after="0"/>
        <w:ind w:left="0"/>
        <w:jc w:val="both"/>
      </w:pPr>
      <w:r>
        <w:rPr>
          <w:rFonts w:ascii="Times New Roman"/>
          <w:b w:val="false"/>
          <w:i w:val="false"/>
          <w:color w:val="000000"/>
          <w:sz w:val="28"/>
        </w:rPr>
        <w:t>
      Осы Хаттама Келісімнің қолданылуы тоқтатылғанға дейін қолданыста болады.</w:t>
      </w:r>
    </w:p>
    <w:p>
      <w:pPr>
        <w:spacing w:after="0"/>
        <w:ind w:left="0"/>
        <w:jc w:val="both"/>
      </w:pPr>
      <w:r>
        <w:rPr>
          <w:rFonts w:ascii="Times New Roman"/>
          <w:b w:val="false"/>
          <w:i w:val="false"/>
          <w:color w:val="000000"/>
          <w:sz w:val="28"/>
        </w:rPr>
        <w:t>
      2025 жылғы "___" тамызда Бішкек қаласында әрқайсысы қазақ, қырғыз және орыс тілдерінде екі данада жасалды әрі барлық мәтін бірдей күшке ие.</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Yкiметi үшiн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