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f6a3" w14:textId="213f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19 қазандағы N 972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10 желтоқсандағы N 2064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N 972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 деген </w:t>
      </w:r>
      <w:r>
        <w:rPr>
          <w:rFonts w:ascii="Times New Roman"/>
          <w:b w:val="false"/>
          <w:i w:val="false"/>
          <w:color w:val="000000"/>
          <w:sz w:val="28"/>
        </w:rPr>
        <w:t>6-бөлім</w:t>
      </w:r>
      <w:r>
        <w:rPr>
          <w:rFonts w:ascii="Times New Roman"/>
          <w:b w:val="false"/>
          <w:i w:val="false"/>
          <w:color w:val="000000"/>
          <w:sz w:val="28"/>
        </w:rPr>
        <w:t xml:space="preserve"> мынадай мазмұндағы 29-1-тармақпен толықтырылсын:</w:t>
      </w:r>
      <w:r>
        <w:br/>
      </w:r>
      <w:r>
        <w:rPr>
          <w:rFonts w:ascii="Times New Roman"/>
          <w:b w:val="false"/>
          <w:i w:val="false"/>
          <w:color w:val="000000"/>
          <w:sz w:val="28"/>
        </w:rPr>
        <w:t>
      "29-1. Қазақстан-эстон экономикалық және ғылыми-техникалық ынтымақтастық жөніндегі үкіметаралық комиссия.".</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