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07f" w14:textId="4dc4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30 сәуірдегі № 33/325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278 029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229 885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–12 642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364 649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165 515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78 005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87 510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- 189 845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-24 330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95 533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71 879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- 106 334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40 744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28 619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- 51 339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37 478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- 50 078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- 2 133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2 133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- 2 133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44 931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19 252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25 679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- 47 831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2 900 мың теңге.";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15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33/325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15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