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de35" w14:textId="739d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2023 жылғы 22 желтоқсандағы № 8С-18-1 "2024-2026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2024 жылғы 22 мамырдағы № 8С-26-1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ауданының 2024-2026 жылдарға арналған ауылдарының, ауылдық округтерінің бюджеттері туралы" 2023 жылғы 22 желтоқсандағы № 8С-18-1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Белағаш ауылының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(-938)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938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Беловод ауылдық округінің бюджеті тиісінше 4, 5 және 6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49087,3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(-7594,5)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7594,5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Жақсы ауылының бюджеті тиісінше 7, 8 және 9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492688,2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451824,2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501743,2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(-9055)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9055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Жаңа Қийма ауылдық округінің бюджеті тиісінше 10, 11 және 12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76230,3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55610,3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83116,1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(-6885,8)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6885,8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Запорожье ауылдық округінің бюджеті тиісінше 13, 14 және 15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48245,3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34718,3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(-843,1)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843,1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Ешім ауылдық округінің тиісінше 16, 17 және 18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228817,4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218762,4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231402,6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(-2585,2)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2585,2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Калинин ауылдық округінің тиісінше 19, 20 және 21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(-4700)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4700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Киев ауылының бюджеті тиісінше 22, 23 және 24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(-3011)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3011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Қызылсай ауылдық округінің тиісінше 25, 26 және 27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37977,3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23945,3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(-2479,7)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2479,7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Новокиенка ауылының бюджеті тиісінше 28, 29 және 30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Подгорное ауылының бюджеті тиісінше 31, 32 және 33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33200,2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29760,2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(-129,4)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2024-2026 жылдарға арналған Тарасов ауылдық округінің бюджеті тиісінше 34, 35 және 36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26811,4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20839,4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(-388,6)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388,6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Терісаққан ауылының бюджеті тиісінше 37, 38 және 39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26857,3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(-2940,5)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2940,5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2024-2026 жылдарға арналған Чапай ауылының бюджеті тиісінше 40, 41 және 42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(-929)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929 мың теңге.";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Беловод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Жақсы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 Қийма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Запорожье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Ешім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Калинин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Киев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Новокиенка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Подгорное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Тарасов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Терісаққан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Чапай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ағымдағы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ағымдағы нысаналы трансферттер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ауылындағы кентішілік жолдарды орташа жөндеу – Тәуелсіздік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ауылындағы кентішілік жолдарды орташа жөндеу – Түктібаев көшесі (жолдың бір бөлігі - қайта өңдеу)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ауылындағы кентішілік жолдарды орташа жөндеу – Мир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ауылындағы Тәуелсіздік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 ауылының Тауасар көшесіндегі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берілетін ағымдағы нысаналы трансферттер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мен принтерді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бұзушылықтар үшін планшет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ауылында ұңғыма қоршауын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Туктубаев және Советская көшелерінде су өткізу науаларын орнату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 қайта даярлау (3 апталық курстар) және іссапар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және жинау қызметтері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кентішілік жолдарын шұңқырлы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әкету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шатырын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ауылының кіреберісіне грейдердің қиыршық тасымен толтыру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рәміздерді сатып алу (елтаңба, 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үшін төлем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аумағында темір қоршаулар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Планшетті, термопринтерді, компьютерді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персоналдың еңбегіне ақы төлеу 2 бірлік от жағушы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 бойынша жұмыс берушілердің жарналары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үшін төлем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шығаруға және жинауға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арттыруға 5 күн. және іссапар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кеңсе шкафын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маманға оқуға және іссапар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