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9e55" w14:textId="fa99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22 желтоқсандағы № 8С-18-1 "2024-2026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1 наурыздағы № 8С-23-1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2024-2026 жылдарға арналған ауылдарының, ауылдық округтерінің бюджеттері туралы" 2023 жылғы 22 желтоқсандағы № 8С-18-1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Белағаш ауылының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(-938)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Беловод ауылдық округінің бюджеті тиісінше 4, 5 және 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(-3311)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Жақсы ауылының бюджеті тиісінше 7, 8 және 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473234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Жаңа Қийма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72812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(-1347,6)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1347,6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Запорожье ауылдық округінің бюджеті тиісінше 13, 14 және 15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(-843,1)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843,1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Ешім ауылдық округінің тиісінше 16, 17 және 18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256206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256704,4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(-498,4)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Калинин ауылдық округінің тиісінше 19, 20 және 21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(-4000)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Киев ауылының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(-3011)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Қызылсай ауылдық округінің тиісінше 25, 26 және 27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(-2479,7)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Тарасов ауылдық округінің бюджеті тиісінше 34, 35 және 36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(-388,6)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Терісаққан ауылының бюджеті тиісінше 37, 38 және 39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(-2940,5)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2940,5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Чапай ауылының бюджеті тиісінше 40, 41 және 42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(-929)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929 мың теңге.";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Беловод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Қийма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Запорожье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Ешім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Киев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Тарасов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ағымдағы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ағымдағы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ауылындағы кентішілік жолдарды орташа жөндеу – Тәуелсіздік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ауылындағы кентішілік жолдарды орташа жөндеу – Түктібаев көшесі (жолдың бір бөлігі - қайта өңдеу)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ауылындағы кентішілік жолдарды орташа жөндеу – Мира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Тәуелсіздік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ауылының Тауасар көшесіндегі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округінің Ешім ауылындағы спорт стадионын ағымдағы жөндеу (қосымша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мен принтерді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ауылында ұңғыма қоршауын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саябақты абаттандыру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кентішілік жолдарын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кіреберісіне грейдердің қиыршық тасымен толтыру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(елтаңба, 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аумағында темір қоршаулар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еңбегіне ақы төлеу 2 бірлік от жағушы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төлем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шығаруға және жинауға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маманға оқуға және 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