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e2c0" w14:textId="6bfe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82 976,7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79 285,7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84 416,7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20.11.2023 </w:t>
      </w:r>
      <w:r>
        <w:rPr>
          <w:rFonts w:ascii="Times New Roman"/>
          <w:b w:val="false"/>
          <w:i w:val="false"/>
          <w:color w:val="000000"/>
          <w:sz w:val="28"/>
        </w:rPr>
        <w:t>№ 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Лесной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Лесной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35 529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Лесной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ff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20.11.2023 </w:t>
      </w:r>
      <w:r>
        <w:rPr>
          <w:rFonts w:ascii="Times New Roman"/>
          <w:b w:val="false"/>
          <w:i w:val="false"/>
          <w:color w:val="ff0000"/>
          <w:sz w:val="28"/>
        </w:rPr>
        <w:t>№ 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Лесной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Лесной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