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a5ad" w14:textId="18ba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строительства и жилищно-коммунального хозяйства от 26 сентября 2011 года № 354 "Об утверждении Методики расчета объемов предоставленных услуг по водоснабжению и водоотведению"</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31 июля 2019 года № 592. Зарегистрирован в Министерстве юстиции Республики Казахстан 1 августа 2019 года № 19167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26 сентября 2011 года № 354 "Об утверждении Методики расчета объемов предоставленных услуг по водоснабжению и водоотведению" (зарегистрирован в Реестре государственной регистрации нормативных правовых актов за № 7257, опубликован в газете "Казахстанская правда" от 16 ноября 2011 года № 543-547)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Методики расчета объемов предоставленных услуг водоснабжения и (или) водоотведения населенных пунктов";</w:t>
      </w:r>
    </w:p>
    <w:bookmarkEnd w:id="3"/>
    <w:bookmarkStart w:name="z8"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92-7 Водного Кодекса Республики Казахстан от 9 июля 2003 года </w:t>
      </w:r>
      <w:r>
        <w:rPr>
          <w:rFonts w:ascii="Times New Roman"/>
          <w:b/>
          <w:i w:val="false"/>
          <w:color w:val="000000"/>
          <w:sz w:val="28"/>
        </w:rPr>
        <w:t>ПРИКАЗЫВАЮ</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объемов предоставленных услуг водоснабжению и (или) водоотведению населенных пунктов.";</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объемов предоставленных услуг водоснабжения и водоотведения, утвержденной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"Методика расчета объемов предоставленных услуг водоснабжению и (или) водоотведению населенных пунктов";</w:t>
      </w:r>
    </w:p>
    <w:bookmarkEnd w:id="8"/>
    <w:bookmarkStart w:name="z15"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"Глава 1. Общие положения";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"1. Настоящая Методика расчета объемов предоставленных услуг водоснабжения и (или) водоотведения населенных пунктов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92-7 Водного Кодекса Республики Казахстан от 9 июля 2003 года в целях обеспечения единого подхода при определении объемов предоставленных организациями, эксплуатирующими системы водоснабжения и водоотведения населенных пунктов (далее – услугодателями), услуг водоснабжения и водоотведения физическим или юридическим лицам и индивидуальным предпринимателям (далее – потребителям), использующим эти услуги.</w:t>
      </w:r>
    </w:p>
    <w:bookmarkEnd w:id="11"/>
    <w:bookmarkStart w:name="z19" w:id="12"/>
    <w:p>
      <w:pPr>
        <w:spacing w:after="0"/>
        <w:ind w:left="0"/>
        <w:jc w:val="both"/>
      </w:pPr>
      <w:r>
        <w:rPr>
          <w:rFonts w:ascii="Times New Roman"/>
          <w:b w:val="false"/>
          <w:i w:val="false"/>
          <w:color w:val="000000"/>
          <w:sz w:val="28"/>
        </w:rPr>
        <w:t>
      Настоящая Методика предусматривает порядок определения объемов предоставленных услуг водоснабжения и водоотведения в случаях, по которым услугодатель выставляет потребителю счета для оплаты.</w:t>
      </w:r>
    </w:p>
    <w:bookmarkEnd w:id="12"/>
    <w:bookmarkStart w:name="z20" w:id="13"/>
    <w:p>
      <w:pPr>
        <w:spacing w:after="0"/>
        <w:ind w:left="0"/>
        <w:jc w:val="both"/>
      </w:pPr>
      <w:r>
        <w:rPr>
          <w:rFonts w:ascii="Times New Roman"/>
          <w:b w:val="false"/>
          <w:i w:val="false"/>
          <w:color w:val="000000"/>
          <w:sz w:val="28"/>
        </w:rPr>
        <w:t>
      2. В настоящей Методике используются следующие термины и определения:</w:t>
      </w:r>
    </w:p>
    <w:bookmarkEnd w:id="13"/>
    <w:bookmarkStart w:name="z21" w:id="14"/>
    <w:p>
      <w:pPr>
        <w:spacing w:after="0"/>
        <w:ind w:left="0"/>
        <w:jc w:val="both"/>
      </w:pPr>
      <w:r>
        <w:rPr>
          <w:rFonts w:ascii="Times New Roman"/>
          <w:b w:val="false"/>
          <w:i w:val="false"/>
          <w:color w:val="000000"/>
          <w:sz w:val="28"/>
        </w:rPr>
        <w:t>
      1)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bookmarkEnd w:id="14"/>
    <w:bookmarkStart w:name="z22" w:id="15"/>
    <w:p>
      <w:pPr>
        <w:spacing w:after="0"/>
        <w:ind w:left="0"/>
        <w:jc w:val="both"/>
      </w:pPr>
      <w:r>
        <w:rPr>
          <w:rFonts w:ascii="Times New Roman"/>
          <w:b w:val="false"/>
          <w:i w:val="false"/>
          <w:color w:val="000000"/>
          <w:sz w:val="28"/>
        </w:rPr>
        <w:t>
      2) организация по водоснабжению и (или) водоотведению – водохозяйственная организация, осуществляющая эксплуатацию систем водоснабжения и водоотведения в населенных пунктах (далее – услугодатель);</w:t>
      </w:r>
    </w:p>
    <w:bookmarkEnd w:id="15"/>
    <w:bookmarkStart w:name="z23" w:id="16"/>
    <w:p>
      <w:pPr>
        <w:spacing w:after="0"/>
        <w:ind w:left="0"/>
        <w:jc w:val="both"/>
      </w:pPr>
      <w:r>
        <w:rPr>
          <w:rFonts w:ascii="Times New Roman"/>
          <w:b w:val="false"/>
          <w:i w:val="false"/>
          <w:color w:val="000000"/>
          <w:sz w:val="28"/>
        </w:rPr>
        <w:t>
      3) ввод водопровода – трубопровод от распределительной сети водоснабжения, включая колодец с запорной арматурой в точке подключения, до первой задвижки в здании;</w:t>
      </w:r>
    </w:p>
    <w:bookmarkEnd w:id="16"/>
    <w:bookmarkStart w:name="z24" w:id="17"/>
    <w:p>
      <w:pPr>
        <w:spacing w:after="0"/>
        <w:ind w:left="0"/>
        <w:jc w:val="both"/>
      </w:pPr>
      <w:r>
        <w:rPr>
          <w:rFonts w:ascii="Times New Roman"/>
          <w:b w:val="false"/>
          <w:i w:val="false"/>
          <w:color w:val="000000"/>
          <w:sz w:val="28"/>
        </w:rPr>
        <w:t>
      4) полная пропускная способность самотечного трубопровода – расход сточной воды, отводимой по трубопроводу, при существующем уклоне и наполнении 1,0 d (d – внутренний диаметр трубопровода) и скорости движения сточной воды 1 метр в секунду при действии его 24 часа в сутки;</w:t>
      </w:r>
    </w:p>
    <w:bookmarkEnd w:id="17"/>
    <w:bookmarkStart w:name="z25" w:id="18"/>
    <w:p>
      <w:pPr>
        <w:spacing w:after="0"/>
        <w:ind w:left="0"/>
        <w:jc w:val="both"/>
      </w:pPr>
      <w:r>
        <w:rPr>
          <w:rFonts w:ascii="Times New Roman"/>
          <w:b w:val="false"/>
          <w:i w:val="false"/>
          <w:color w:val="000000"/>
          <w:sz w:val="28"/>
        </w:rPr>
        <w:t xml:space="preserve">
      5)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 </w:t>
      </w:r>
    </w:p>
    <w:bookmarkEnd w:id="18"/>
    <w:bookmarkStart w:name="z26" w:id="19"/>
    <w:p>
      <w:pPr>
        <w:spacing w:after="0"/>
        <w:ind w:left="0"/>
        <w:jc w:val="both"/>
      </w:pPr>
      <w:r>
        <w:rPr>
          <w:rFonts w:ascii="Times New Roman"/>
          <w:b w:val="false"/>
          <w:i w:val="false"/>
          <w:color w:val="000000"/>
          <w:sz w:val="28"/>
        </w:rPr>
        <w:t>
      6) локальные очистные сооружения водоотведения – совокупность сооружений и устройств потребителя для очистки собственных сточных вод;</w:t>
      </w:r>
    </w:p>
    <w:bookmarkEnd w:id="19"/>
    <w:bookmarkStart w:name="z27" w:id="20"/>
    <w:p>
      <w:pPr>
        <w:spacing w:after="0"/>
        <w:ind w:left="0"/>
        <w:jc w:val="both"/>
      </w:pPr>
      <w:r>
        <w:rPr>
          <w:rFonts w:ascii="Times New Roman"/>
          <w:b w:val="false"/>
          <w:i w:val="false"/>
          <w:color w:val="000000"/>
          <w:sz w:val="28"/>
        </w:rPr>
        <w:t xml:space="preserve">
      7) норма потребления коммунальной услуги по водоснабжению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утвержденными местными исполнительными органами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(далее – Закон);</w:t>
      </w:r>
    </w:p>
    <w:bookmarkEnd w:id="20"/>
    <w:bookmarkStart w:name="z28" w:id="21"/>
    <w:p>
      <w:pPr>
        <w:spacing w:after="0"/>
        <w:ind w:left="0"/>
        <w:jc w:val="both"/>
      </w:pPr>
      <w:r>
        <w:rPr>
          <w:rFonts w:ascii="Times New Roman"/>
          <w:b w:val="false"/>
          <w:i w:val="false"/>
          <w:color w:val="000000"/>
          <w:sz w:val="28"/>
        </w:rPr>
        <w:t>
      8) полная пропускная способность водопровода – расход воды по трубопроводу при наполнении равном 1,0 d (d – внутренний диаметр трубопровода), и скорости движения воды один метр в секунду при действии его 24 часа в сутки;</w:t>
      </w:r>
    </w:p>
    <w:bookmarkEnd w:id="21"/>
    <w:bookmarkStart w:name="z29" w:id="22"/>
    <w:p>
      <w:pPr>
        <w:spacing w:after="0"/>
        <w:ind w:left="0"/>
        <w:jc w:val="both"/>
      </w:pPr>
      <w:r>
        <w:rPr>
          <w:rFonts w:ascii="Times New Roman"/>
          <w:b w:val="false"/>
          <w:i w:val="false"/>
          <w:color w:val="000000"/>
          <w:sz w:val="28"/>
        </w:rPr>
        <w:t>
      9) водопотребитель – физическое или юридическое лицо, потребляющее воду из водных объектов или пользующееся услугами водохозяйственных организаций и получающее воду из систем водоснабжения.";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xml:space="preserve">
      "4. При отсутствии приборов учета, объем предоставленных услуг водоснабжения определяется расчетным путем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xml:space="preserve">
      "7. Объем предоставленных услуг водоотведения потребителям, не присоединенным к системе водоснабжения населенного пункта (услугодателя), а также имеющим различные источники водоснабжения, отводящим сточные воды в систему водоотведения населенного пункта (услугодателя), при отсутствии приборов учета сточных вод определяется по показаниям приборов учета воды или расчетным путем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24"/>
    <w:bookmarkStart w:name="z34" w:id="25"/>
    <w:p>
      <w:pPr>
        <w:spacing w:after="0"/>
        <w:ind w:left="0"/>
        <w:jc w:val="both"/>
      </w:pPr>
      <w:r>
        <w:rPr>
          <w:rFonts w:ascii="Times New Roman"/>
          <w:b w:val="false"/>
          <w:i w:val="false"/>
          <w:color w:val="000000"/>
          <w:sz w:val="28"/>
        </w:rPr>
        <w:t xml:space="preserve">
      8. В случае временного отсутствия приборов учета в связи с их очередной поверкой, ремонтом или заменой при извещении услугодателя,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25"/>
    <w:bookmarkStart w:name="z35" w:id="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6"/>
    <w:bookmarkStart w:name="z36" w:id="27"/>
    <w:p>
      <w:pPr>
        <w:spacing w:after="0"/>
        <w:ind w:left="0"/>
        <w:jc w:val="both"/>
      </w:pPr>
      <w:r>
        <w:rPr>
          <w:rFonts w:ascii="Times New Roman"/>
          <w:b w:val="false"/>
          <w:i w:val="false"/>
          <w:color w:val="000000"/>
          <w:sz w:val="28"/>
        </w:rPr>
        <w:t>
      "Глава 2. Учет объема предоставленных услуг при открытой и закрытой системах горячего водоснабжения";</w:t>
      </w:r>
    </w:p>
    <w:bookmarkEnd w:id="27"/>
    <w:bookmarkStart w:name="z37" w:id="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8"/>
    <w:bookmarkStart w:name="z38" w:id="29"/>
    <w:p>
      <w:pPr>
        <w:spacing w:after="0"/>
        <w:ind w:left="0"/>
        <w:jc w:val="both"/>
      </w:pPr>
      <w:r>
        <w:rPr>
          <w:rFonts w:ascii="Times New Roman"/>
          <w:b w:val="false"/>
          <w:i w:val="false"/>
          <w:color w:val="000000"/>
          <w:sz w:val="28"/>
        </w:rPr>
        <w:t>
      "Глава 3. Учет объема предоставленных услуг водоснабжения и водоотведения участникам кондоминиума";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"16. Объем предоставленных услуг водоснабжения для потребителей – участников кондоминиума определяется в следующем порядке:</w:t>
      </w:r>
    </w:p>
    <w:bookmarkEnd w:id="30"/>
    <w:bookmarkStart w:name="z41" w:id="31"/>
    <w:p>
      <w:pPr>
        <w:spacing w:after="0"/>
        <w:ind w:left="0"/>
        <w:jc w:val="both"/>
      </w:pPr>
      <w:r>
        <w:rPr>
          <w:rFonts w:ascii="Times New Roman"/>
          <w:b w:val="false"/>
          <w:i w:val="false"/>
          <w:color w:val="000000"/>
          <w:sz w:val="28"/>
        </w:rPr>
        <w:t xml:space="preserve">
      1) при отсутствии индивидуальных и общедомового приборов учета –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31"/>
    <w:bookmarkStart w:name="z42" w:id="32"/>
    <w:p>
      <w:pPr>
        <w:spacing w:after="0"/>
        <w:ind w:left="0"/>
        <w:jc w:val="both"/>
      </w:pPr>
      <w:r>
        <w:rPr>
          <w:rFonts w:ascii="Times New Roman"/>
          <w:b w:val="false"/>
          <w:i w:val="false"/>
          <w:color w:val="000000"/>
          <w:sz w:val="28"/>
        </w:rPr>
        <w:t xml:space="preserve">
      2) при частичной установке индивидуальных приборов учета и отсутствии общедомового прибора учета – по показаниям индивидуальных приборов учета и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32"/>
    <w:bookmarkStart w:name="z43" w:id="33"/>
    <w:p>
      <w:pPr>
        <w:spacing w:after="0"/>
        <w:ind w:left="0"/>
        <w:jc w:val="both"/>
      </w:pPr>
      <w:r>
        <w:rPr>
          <w:rFonts w:ascii="Times New Roman"/>
          <w:b w:val="false"/>
          <w:i w:val="false"/>
          <w:color w:val="000000"/>
          <w:sz w:val="28"/>
        </w:rPr>
        <w:t>
      3) при частичной установке индивидуальных приборов учета и наличии общедомового прибора учета:</w:t>
      </w:r>
    </w:p>
    <w:bookmarkEnd w:id="33"/>
    <w:bookmarkStart w:name="z44" w:id="34"/>
    <w:p>
      <w:pPr>
        <w:spacing w:after="0"/>
        <w:ind w:left="0"/>
        <w:jc w:val="both"/>
      </w:pPr>
      <w:r>
        <w:rPr>
          <w:rFonts w:ascii="Times New Roman"/>
          <w:b w:val="false"/>
          <w:i w:val="false"/>
          <w:color w:val="000000"/>
          <w:sz w:val="28"/>
        </w:rPr>
        <w:t>
      имеющим приборы учета – по показаниям индивидуальных приборов учета;</w:t>
      </w:r>
    </w:p>
    <w:bookmarkEnd w:id="34"/>
    <w:bookmarkStart w:name="z45" w:id="35"/>
    <w:p>
      <w:pPr>
        <w:spacing w:after="0"/>
        <w:ind w:left="0"/>
        <w:jc w:val="both"/>
      </w:pPr>
      <w:r>
        <w:rPr>
          <w:rFonts w:ascii="Times New Roman"/>
          <w:b w:val="false"/>
          <w:i w:val="false"/>
          <w:color w:val="000000"/>
          <w:sz w:val="28"/>
        </w:rPr>
        <w:t xml:space="preserve">
      не имеющим приборы учета –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35"/>
    <w:bookmarkStart w:name="z46" w:id="36"/>
    <w:p>
      <w:pPr>
        <w:spacing w:after="0"/>
        <w:ind w:left="0"/>
        <w:jc w:val="both"/>
      </w:pPr>
      <w:r>
        <w:rPr>
          <w:rFonts w:ascii="Times New Roman"/>
          <w:b w:val="false"/>
          <w:i w:val="false"/>
          <w:color w:val="000000"/>
          <w:sz w:val="28"/>
        </w:rPr>
        <w:t xml:space="preserve">
      Разница между показаниями общедомового прибора учета и суммарным показанием индивидуальных приборов учета и объемов, рассчитанных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подлежит оплате собственниками квартир, встроенных и пристроенных нежилых помещений (участниками кондоминиума) пропорционально объемам потребленной воды;</w:t>
      </w:r>
    </w:p>
    <w:bookmarkEnd w:id="36"/>
    <w:bookmarkStart w:name="z47" w:id="37"/>
    <w:p>
      <w:pPr>
        <w:spacing w:after="0"/>
        <w:ind w:left="0"/>
        <w:jc w:val="both"/>
      </w:pPr>
      <w:r>
        <w:rPr>
          <w:rFonts w:ascii="Times New Roman"/>
          <w:b w:val="false"/>
          <w:i w:val="false"/>
          <w:color w:val="000000"/>
          <w:sz w:val="28"/>
        </w:rPr>
        <w:t>
      4) при 100 %-ном наличии индивидуальных приборов учета и отсутствии общедомового прибора учета – по показаниям индивидуальных приборов учета;</w:t>
      </w:r>
    </w:p>
    <w:bookmarkEnd w:id="37"/>
    <w:bookmarkStart w:name="z48" w:id="38"/>
    <w:p>
      <w:pPr>
        <w:spacing w:after="0"/>
        <w:ind w:left="0"/>
        <w:jc w:val="both"/>
      </w:pPr>
      <w:r>
        <w:rPr>
          <w:rFonts w:ascii="Times New Roman"/>
          <w:b w:val="false"/>
          <w:i w:val="false"/>
          <w:color w:val="000000"/>
          <w:sz w:val="28"/>
        </w:rPr>
        <w:t>
      5) при 100 %-ном наличии индивидуальных приборов учета и общедомового прибора учета – по показаниям индивидуальных приборов учета. Разница между показаниями общедомового прибора учета и суммарным показанием индивидуальных приборов учета подлежит оплате собственниками квартир, встроенных и пристроенных нежилых помещений (участниками кондоминиума), пропорционально объемам потребленной воды;</w:t>
      </w:r>
    </w:p>
    <w:bookmarkEnd w:id="38"/>
    <w:bookmarkStart w:name="z49" w:id="39"/>
    <w:p>
      <w:pPr>
        <w:spacing w:after="0"/>
        <w:ind w:left="0"/>
        <w:jc w:val="both"/>
      </w:pPr>
      <w:r>
        <w:rPr>
          <w:rFonts w:ascii="Times New Roman"/>
          <w:b w:val="false"/>
          <w:i w:val="false"/>
          <w:color w:val="000000"/>
          <w:sz w:val="28"/>
        </w:rPr>
        <w:t>
      6) объем сточных вод потребителей, присоединенных к системе водоотведения населенного пункта, принимается равным объему отпущенной воды.";</w:t>
      </w:r>
    </w:p>
    <w:bookmarkEnd w:id="39"/>
    <w:bookmarkStart w:name="z50" w:id="4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0"/>
    <w:bookmarkStart w:name="z51" w:id="41"/>
    <w:p>
      <w:pPr>
        <w:spacing w:after="0"/>
        <w:ind w:left="0"/>
        <w:jc w:val="both"/>
      </w:pPr>
      <w:r>
        <w:rPr>
          <w:rFonts w:ascii="Times New Roman"/>
          <w:b w:val="false"/>
          <w:i w:val="false"/>
          <w:color w:val="000000"/>
          <w:sz w:val="28"/>
        </w:rPr>
        <w:t>
      "Глава 4. Учет объема предоставленных услуг водоснабжения и водоотведения потребителям – индивидуальным предпринимателям и юридическим лицам";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53" w:id="42"/>
    <w:p>
      <w:pPr>
        <w:spacing w:after="0"/>
        <w:ind w:left="0"/>
        <w:jc w:val="both"/>
      </w:pPr>
      <w:r>
        <w:rPr>
          <w:rFonts w:ascii="Times New Roman"/>
          <w:b w:val="false"/>
          <w:i w:val="false"/>
          <w:color w:val="000000"/>
          <w:sz w:val="28"/>
        </w:rPr>
        <w:t>
      "20. Объем предоставленных услуг для потребителей – юридических лиц, не имеющих приборов учета воды, при отсутствии технической возможности их установки, определяется по расчетному объему водопотребления, составленному при заключении договора на предоставление услуг водоснабжения и водоотведения.";</w:t>
      </w:r>
    </w:p>
    <w:bookmarkEnd w:id="42"/>
    <w:bookmarkStart w:name="z54" w:id="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43"/>
    <w:bookmarkStart w:name="z55" w:id="44"/>
    <w:p>
      <w:pPr>
        <w:spacing w:after="0"/>
        <w:ind w:left="0"/>
        <w:jc w:val="both"/>
      </w:pPr>
      <w:r>
        <w:rPr>
          <w:rFonts w:ascii="Times New Roman"/>
          <w:b w:val="false"/>
          <w:i w:val="false"/>
          <w:color w:val="000000"/>
          <w:sz w:val="28"/>
        </w:rPr>
        <w:t>
      "Глава 5. Учет объема предоставленных услуг водоснабжения и водоотведения в отдельных случаях";</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57" w:id="45"/>
    <w:p>
      <w:pPr>
        <w:spacing w:after="0"/>
        <w:ind w:left="0"/>
        <w:jc w:val="both"/>
      </w:pPr>
      <w:r>
        <w:rPr>
          <w:rFonts w:ascii="Times New Roman"/>
          <w:b w:val="false"/>
          <w:i w:val="false"/>
          <w:color w:val="000000"/>
          <w:sz w:val="28"/>
        </w:rPr>
        <w:t>
      "22. Расчет объемов предоставленных услуг водоснабжения при выявлении нарушений производится:</w:t>
      </w:r>
    </w:p>
    <w:bookmarkEnd w:id="45"/>
    <w:bookmarkStart w:name="z58" w:id="46"/>
    <w:p>
      <w:pPr>
        <w:spacing w:after="0"/>
        <w:ind w:left="0"/>
        <w:jc w:val="both"/>
      </w:pPr>
      <w:r>
        <w:rPr>
          <w:rFonts w:ascii="Times New Roman"/>
          <w:b w:val="false"/>
          <w:i w:val="false"/>
          <w:color w:val="000000"/>
          <w:sz w:val="28"/>
        </w:rPr>
        <w:t>
      1) при обнаружении у потребителя приспособлений, искажающих показания приборов учета – по полной пропускной способности трубы, на которой установлен прибор учета воды, с момента последнего снятия показаний прибора учета воды по день обнаружения, но не более двух месяцев;</w:t>
      </w:r>
    </w:p>
    <w:bookmarkEnd w:id="46"/>
    <w:bookmarkStart w:name="z59" w:id="47"/>
    <w:p>
      <w:pPr>
        <w:spacing w:after="0"/>
        <w:ind w:left="0"/>
        <w:jc w:val="both"/>
      </w:pPr>
      <w:r>
        <w:rPr>
          <w:rFonts w:ascii="Times New Roman"/>
          <w:b w:val="false"/>
          <w:i w:val="false"/>
          <w:color w:val="000000"/>
          <w:sz w:val="28"/>
        </w:rPr>
        <w:t>
      2) при обнаружении утечек из систем водоснабжения потребителя при отсутствии прибора учета или его неисправности – по полной пропускной способности трубы, на которой обнаружена утечка, за фактическое время по день ликвидации. Если день начала утечки установить невозможно – с момента с момента последнего осмотра, но не более двух месяцев;</w:t>
      </w:r>
    </w:p>
    <w:bookmarkEnd w:id="47"/>
    <w:bookmarkStart w:name="z60" w:id="48"/>
    <w:p>
      <w:pPr>
        <w:spacing w:after="0"/>
        <w:ind w:left="0"/>
        <w:jc w:val="both"/>
      </w:pPr>
      <w:r>
        <w:rPr>
          <w:rFonts w:ascii="Times New Roman"/>
          <w:b w:val="false"/>
          <w:i w:val="false"/>
          <w:color w:val="000000"/>
          <w:sz w:val="28"/>
        </w:rPr>
        <w:t>
      3) при недопуске потребителем (его представителями) представителя услугодателя к снятию показаний и проверке работоспособности приборов учета воды, технического состояния ввода водопровода и узлов учета – по полной пропускной способности трубы, на которой установлен прибор учета, с момента последнего снятия показаний прибора учета воды до момента предоставления допуска;</w:t>
      </w:r>
    </w:p>
    <w:bookmarkEnd w:id="48"/>
    <w:bookmarkStart w:name="z61" w:id="49"/>
    <w:p>
      <w:pPr>
        <w:spacing w:after="0"/>
        <w:ind w:left="0"/>
        <w:jc w:val="both"/>
      </w:pPr>
      <w:r>
        <w:rPr>
          <w:rFonts w:ascii="Times New Roman"/>
          <w:b w:val="false"/>
          <w:i w:val="false"/>
          <w:color w:val="000000"/>
          <w:sz w:val="28"/>
        </w:rPr>
        <w:t>
      4) при обнаружении срыва пломбы на приборе учета потребителя и/или обводной линии водомерного узла (запорной арматуры), пожарных гидрантов – по полной пропускной способности трубы, на которой установлен прибор учета, обводной линии или пожарных гидрантов с момента последнего снятия показаний прибора учета воды до момента повторной опломбировки представителем услугодателя, но не более двух месяцев;</w:t>
      </w:r>
    </w:p>
    <w:bookmarkEnd w:id="49"/>
    <w:bookmarkStart w:name="z62" w:id="50"/>
    <w:p>
      <w:pPr>
        <w:spacing w:after="0"/>
        <w:ind w:left="0"/>
        <w:jc w:val="both"/>
      </w:pPr>
      <w:r>
        <w:rPr>
          <w:rFonts w:ascii="Times New Roman"/>
          <w:b w:val="false"/>
          <w:i w:val="false"/>
          <w:color w:val="000000"/>
          <w:sz w:val="28"/>
        </w:rPr>
        <w:t>
      5) при неуведомлении услугодателя о неисправностях прибора учета, за исключением случаев выхода прибора учета из строя не по вине потребителя – по полной пропускной способности трубы, на которой установлен прибор учета с момента последнего снятия показаний прибора учета до момента обнаружения неисправности, но не более двух месяцев;</w:t>
      </w:r>
    </w:p>
    <w:bookmarkEnd w:id="50"/>
    <w:bookmarkStart w:name="z63" w:id="51"/>
    <w:p>
      <w:pPr>
        <w:spacing w:after="0"/>
        <w:ind w:left="0"/>
        <w:jc w:val="both"/>
      </w:pPr>
      <w:r>
        <w:rPr>
          <w:rFonts w:ascii="Times New Roman"/>
          <w:b w:val="false"/>
          <w:i w:val="false"/>
          <w:color w:val="000000"/>
          <w:sz w:val="28"/>
        </w:rPr>
        <w:t>
      6) при выявлении факта пользования водой из сетей водоснабжения населенного пункта (услугодателя) без заключенного с услугодателем договора на предоставление услуг водоснабжения и водоотведения – по полной пропускной способности трубы самовольного присоединения, на которой устанавливается прибор учета воды, за время фактического пользования до момента обнаружения (отключения), но не более трех месяцев;</w:t>
      </w:r>
    </w:p>
    <w:bookmarkEnd w:id="51"/>
    <w:bookmarkStart w:name="z64" w:id="52"/>
    <w:p>
      <w:pPr>
        <w:spacing w:after="0"/>
        <w:ind w:left="0"/>
        <w:jc w:val="both"/>
      </w:pPr>
      <w:r>
        <w:rPr>
          <w:rFonts w:ascii="Times New Roman"/>
          <w:b w:val="false"/>
          <w:i w:val="false"/>
          <w:color w:val="000000"/>
          <w:sz w:val="28"/>
        </w:rPr>
        <w:t>
      7) при выявлении факта пользования водой из противопожарных систем, кроме случаев тушения пожара - по полной пропускной способности трубы перед пожарным краном или гидрантом, с которого осуществлялось самовольное пользование, за время фактического самовольного пользования до момента обнаружения, но не более двух месяцев;</w:t>
      </w:r>
    </w:p>
    <w:bookmarkEnd w:id="52"/>
    <w:bookmarkStart w:name="z65" w:id="53"/>
    <w:p>
      <w:pPr>
        <w:spacing w:after="0"/>
        <w:ind w:left="0"/>
        <w:jc w:val="both"/>
      </w:pPr>
      <w:r>
        <w:rPr>
          <w:rFonts w:ascii="Times New Roman"/>
          <w:b w:val="false"/>
          <w:i w:val="false"/>
          <w:color w:val="000000"/>
          <w:sz w:val="28"/>
        </w:rPr>
        <w:t>
      8) при обнаружении факта полива посредством трубопроводов, присоединенных к системе водоснабжения потребителя, при отсутствии прибора учета на вводе или его неисправности – по полной пропускной способности такого трубопровода с момента последнего снятия показаний приборов учета воды, но не более одного месяца;</w:t>
      </w:r>
    </w:p>
    <w:bookmarkEnd w:id="53"/>
    <w:bookmarkStart w:name="z66" w:id="54"/>
    <w:p>
      <w:pPr>
        <w:spacing w:after="0"/>
        <w:ind w:left="0"/>
        <w:jc w:val="both"/>
      </w:pPr>
      <w:r>
        <w:rPr>
          <w:rFonts w:ascii="Times New Roman"/>
          <w:b w:val="false"/>
          <w:i w:val="false"/>
          <w:color w:val="000000"/>
          <w:sz w:val="28"/>
        </w:rPr>
        <w:t>
      9) при обнаружении факта постоянного протекания воды на излив при отсутствии прибора учета на вводе или его неисправности – по полной пропускной способности подводящей трубы излива с момента последнего осмотра, но не более одного месяца.</w:t>
      </w:r>
    </w:p>
    <w:bookmarkEnd w:id="54"/>
    <w:bookmarkStart w:name="z67" w:id="55"/>
    <w:p>
      <w:pPr>
        <w:spacing w:after="0"/>
        <w:ind w:left="0"/>
        <w:jc w:val="both"/>
      </w:pPr>
      <w:r>
        <w:rPr>
          <w:rFonts w:ascii="Times New Roman"/>
          <w:b w:val="false"/>
          <w:i w:val="false"/>
          <w:color w:val="000000"/>
          <w:sz w:val="28"/>
        </w:rPr>
        <w:t xml:space="preserve">
      23. Расчет объемов предоставленных услуг водоотведения при выявлении нарушений,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настоящей Методики, принимается равным рассчитанному объему услуг водоснабжения, кроме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22, когда объем услуг водоотведения не рассчитывается.";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69" w:id="56"/>
    <w:p>
      <w:pPr>
        <w:spacing w:after="0"/>
        <w:ind w:left="0"/>
        <w:jc w:val="both"/>
      </w:pPr>
      <w:r>
        <w:rPr>
          <w:rFonts w:ascii="Times New Roman"/>
          <w:b w:val="false"/>
          <w:i w:val="false"/>
          <w:color w:val="000000"/>
          <w:sz w:val="28"/>
        </w:rPr>
        <w:t xml:space="preserve">
      "25. При обнаружении факта сброса поверхностных стоков с территорий, промышленных и строительных площадок потребителя в систему водоотведения населенного пункта, объем услуги водоотведения определяется по полной пропускной способности самотечного трубопровода с момента последнего осмотра, но не более одного месяца, за исключением чрезвычайного положения. </w:t>
      </w:r>
    </w:p>
    <w:bookmarkEnd w:id="56"/>
    <w:bookmarkStart w:name="z70" w:id="57"/>
    <w:p>
      <w:pPr>
        <w:spacing w:after="0"/>
        <w:ind w:left="0"/>
        <w:jc w:val="both"/>
      </w:pPr>
      <w:r>
        <w:rPr>
          <w:rFonts w:ascii="Times New Roman"/>
          <w:b w:val="false"/>
          <w:i w:val="false"/>
          <w:color w:val="000000"/>
          <w:sz w:val="28"/>
        </w:rPr>
        <w:t>
      26. При обнаружении факта сброса паводковых, ливневых, грунтовых вод в систему водоотведения населенного пункта с использованием погружных насосов и других перекачивающих устройств, объем предоставленных услуг водоотведения определяется по полной производительности насоса или перекачивающего устройства при действии его 24 часа в сутки с момента последнего осмотра, но не более одного месяца, за исключением чрезвычайного положения.".</w:t>
      </w:r>
    </w:p>
    <w:bookmarkEnd w:id="57"/>
    <w:bookmarkStart w:name="z71" w:id="58"/>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58"/>
    <w:bookmarkStart w:name="z72" w:id="5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9"/>
    <w:bookmarkStart w:name="z73" w:id="6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0"/>
    <w:bookmarkStart w:name="z74" w:id="61"/>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61"/>
    <w:bookmarkStart w:name="z75" w:id="6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2"/>
    <w:bookmarkStart w:name="z76" w:id="6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индустрии и инфраструктурного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77" w:id="6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