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d5ff1" w14:textId="eed5f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оценки степени риска и проверочных листов в области аудиторской деятельности</w:t>
      </w:r>
    </w:p>
    <w:p>
      <w:pPr>
        <w:spacing w:after="0"/>
        <w:ind w:left="0"/>
        <w:jc w:val="both"/>
      </w:pPr>
      <w:r>
        <w:rPr>
          <w:rFonts w:ascii="Times New Roman"/>
          <w:b w:val="false"/>
          <w:i w:val="false"/>
          <w:color w:val="000000"/>
          <w:sz w:val="28"/>
        </w:rPr>
        <w:t>Совместный приказ Первого заместителя Премьер-Министра Республики Казахстан – Министра финансов Республики Казахстан от 15 июля 2019 года № 724 и Министра национальной экономики Республики Казахстан от 16 июля 2019 года № 65. Зарегистрирован в Министерстве юстиции Республики Казахстан 22 июля 2019 года № 19068.</w:t>
      </w:r>
    </w:p>
    <w:p>
      <w:pPr>
        <w:spacing w:after="0"/>
        <w:ind w:left="0"/>
        <w:jc w:val="both"/>
      </w:pPr>
      <w:r>
        <w:rPr>
          <w:rFonts w:ascii="Times New Roman"/>
          <w:b w:val="false"/>
          <w:i w:val="false"/>
          <w:color w:val="ff0000"/>
          <w:sz w:val="28"/>
        </w:rPr>
        <w:t xml:space="preserve">
      Сноска. Заголовок -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Министра финансов РК от 14.06.2021 № 568 и Министра национальной экономики РК от 14.06.2021 № 60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w:t>
      </w:r>
      <w:r>
        <w:rPr>
          <w:rFonts w:ascii="Times New Roman"/>
          <w:b/>
          <w:i w:val="false"/>
          <w:color w:val="000000"/>
          <w:sz w:val="28"/>
        </w:rPr>
        <w:t>ПРИКАЗЫВАЕМ:</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Заместителя Премьер-Министра - Министра финансов РК от 15.12.2022 № 1285 и Министра национальной экономики РК от 15.12.2022 № 127 (вводится в действие с 01.01.2023).</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417" w:id="2"/>
    <w:p>
      <w:pPr>
        <w:spacing w:after="0"/>
        <w:ind w:left="0"/>
        <w:jc w:val="both"/>
      </w:pPr>
      <w:r>
        <w:rPr>
          <w:rFonts w:ascii="Times New Roman"/>
          <w:b w:val="false"/>
          <w:i w:val="false"/>
          <w:color w:val="000000"/>
          <w:sz w:val="28"/>
        </w:rPr>
        <w:t xml:space="preserve">
      1) критерии оценки степени риска в области аудиторской деятельности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совместного приказа Министра финансов РК от 29.12.2025 </w:t>
      </w:r>
      <w:r>
        <w:rPr>
          <w:rFonts w:ascii="Times New Roman"/>
          <w:b w:val="false"/>
          <w:i w:val="false"/>
          <w:color w:val="ff0000"/>
          <w:sz w:val="28"/>
        </w:rPr>
        <w:t>№ 815</w:t>
      </w:r>
      <w:r>
        <w:rPr>
          <w:rFonts w:ascii="Times New Roman"/>
          <w:b w:val="false"/>
          <w:i w:val="false"/>
          <w:color w:val="ff0000"/>
          <w:sz w:val="28"/>
        </w:rPr>
        <w:t xml:space="preserve"> и Заместителя Премьер-Министра – Министра национальной экономики РК от 29.12.2025 № 137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проверочный лист в области аудиторской деятельности в отношении аудиторских организаций для проведения профилактического контроля с посещением субъекта (объекта) контроля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в редакции совместного приказа Министра финансов РК от 29.12.2025 </w:t>
      </w:r>
      <w:r>
        <w:rPr>
          <w:rFonts w:ascii="Times New Roman"/>
          <w:b w:val="false"/>
          <w:i w:val="false"/>
          <w:color w:val="ff0000"/>
          <w:sz w:val="28"/>
        </w:rPr>
        <w:t>№ 815</w:t>
      </w:r>
      <w:r>
        <w:rPr>
          <w:rFonts w:ascii="Times New Roman"/>
          <w:b w:val="false"/>
          <w:i w:val="false"/>
          <w:color w:val="ff0000"/>
          <w:sz w:val="28"/>
        </w:rPr>
        <w:t xml:space="preserve"> и Заместителя Премьер-Министра – Министра национальной экономики РК от 29.12.2025 № 137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проверочный лист в области аудиторской деятельности в отношении профессиональных аудиторских организаций для проведения профилактического контроля с посещением субъекта (объекта) контроля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bookmarkStart w:name="z420" w:id="3"/>
    <w:p>
      <w:pPr>
        <w:spacing w:after="0"/>
        <w:ind w:left="0"/>
        <w:jc w:val="both"/>
      </w:pPr>
      <w:r>
        <w:rPr>
          <w:rFonts w:ascii="Times New Roman"/>
          <w:b w:val="false"/>
          <w:i w:val="false"/>
          <w:color w:val="000000"/>
          <w:sz w:val="28"/>
        </w:rPr>
        <w:t xml:space="preserve">
      4) проверочный лист в области аудиторской деятельности в отношении аудиторских организаций для проведения проверки на соответствие квалификационным требованиям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bookmarkEnd w:id="3"/>
    <w:bookmarkStart w:name="z421" w:id="4"/>
    <w:p>
      <w:pPr>
        <w:spacing w:after="0"/>
        <w:ind w:left="0"/>
        <w:jc w:val="both"/>
      </w:pPr>
      <w:r>
        <w:rPr>
          <w:rFonts w:ascii="Times New Roman"/>
          <w:b w:val="false"/>
          <w:i w:val="false"/>
          <w:color w:val="000000"/>
          <w:sz w:val="28"/>
        </w:rPr>
        <w:t xml:space="preserve">
      5) проверочный лист в области аудиторской деятельности в отношении профессиональных аудиторских организаций для проведения проверки на соответствие разрешительным требованиям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Заместителя Премьер-Министра - Министра финансов РК от 15.12.2022 № 1285 и Министра национальной экономики РК от 15.12.2022 № 127 (вводится в действие с 01.01.2023).</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2. Комитету внутреннего государственного аудита Министерства финансов Республики Казахстан в установленном законодательном порядке обеспечить:</w:t>
      </w:r>
    </w:p>
    <w:bookmarkEnd w:id="5"/>
    <w:bookmarkStart w:name="z9" w:id="6"/>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6"/>
    <w:bookmarkStart w:name="z10" w:id="7"/>
    <w:p>
      <w:pPr>
        <w:spacing w:after="0"/>
        <w:ind w:left="0"/>
        <w:jc w:val="both"/>
      </w:pPr>
      <w:r>
        <w:rPr>
          <w:rFonts w:ascii="Times New Roman"/>
          <w:b w:val="false"/>
          <w:i w:val="false"/>
          <w:color w:val="000000"/>
          <w:sz w:val="28"/>
        </w:rPr>
        <w:t xml:space="preserve">
      2) в течение десяти календарных дней со дня государственной регистрации настоящего совместного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 </w:t>
      </w:r>
    </w:p>
    <w:bookmarkEnd w:id="7"/>
    <w:bookmarkStart w:name="z11" w:id="8"/>
    <w:p>
      <w:pPr>
        <w:spacing w:after="0"/>
        <w:ind w:left="0"/>
        <w:jc w:val="both"/>
      </w:pPr>
      <w:r>
        <w:rPr>
          <w:rFonts w:ascii="Times New Roman"/>
          <w:b w:val="false"/>
          <w:i w:val="false"/>
          <w:color w:val="000000"/>
          <w:sz w:val="28"/>
        </w:rPr>
        <w:t>
      3) размещение настоящего совместного приказа на интернет-ресурсе Министерства финансов Республики Казахстан;</w:t>
      </w:r>
    </w:p>
    <w:bookmarkEnd w:id="8"/>
    <w:bookmarkStart w:name="z12" w:id="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9"/>
    <w:bookmarkStart w:name="z13" w:id="10"/>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вице-министра финансов Республики Казахстан Бекетаева Р.Б.</w:t>
      </w:r>
    </w:p>
    <w:bookmarkEnd w:id="10"/>
    <w:bookmarkStart w:name="z14" w:id="11"/>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со дня его первого официального опубликования.</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w:t>
            </w:r>
          </w:p>
          <w:p>
            <w:pPr>
              <w:spacing w:after="20"/>
              <w:ind w:left="20"/>
              <w:jc w:val="both"/>
            </w:pPr>
            <w:r>
              <w:rPr>
                <w:rFonts w:ascii="Times New Roman"/>
                <w:b w:val="false"/>
                <w:i w:val="false"/>
                <w:color w:val="000000"/>
                <w:sz w:val="20"/>
              </w:rPr>
              <w:t>Премьер-Министра</w:t>
            </w:r>
          </w:p>
          <w:p>
            <w:pPr>
              <w:spacing w:after="20"/>
              <w:ind w:left="20"/>
              <w:jc w:val="both"/>
            </w:pPr>
            <w:r>
              <w:rPr>
                <w:rFonts w:ascii="Times New Roman"/>
                <w:b w:val="false"/>
                <w:i w:val="false"/>
                <w:color w:val="000000"/>
                <w:sz w:val="20"/>
              </w:rPr>
              <w:t>Республики Казахстан –</w:t>
            </w:r>
          </w:p>
          <w:p>
            <w:pPr>
              <w:spacing w:after="20"/>
              <w:ind w:left="20"/>
              <w:jc w:val="both"/>
            </w:pPr>
            <w:r>
              <w:rPr>
                <w:rFonts w:ascii="Times New Roman"/>
                <w:b w:val="false"/>
                <w:i w:val="false"/>
                <w:color w:val="000000"/>
                <w:sz w:val="20"/>
              </w:rPr>
              <w:t>Министр финансов</w:t>
            </w:r>
          </w:p>
          <w:p>
            <w:pPr>
              <w:spacing w:after="20"/>
              <w:ind w:left="20"/>
              <w:jc w:val="both"/>
            </w:pPr>
            <w:r>
              <w:rPr>
                <w:rFonts w:ascii="Times New Roman"/>
                <w:b w:val="false"/>
                <w:i w:val="false"/>
                <w:color w:val="000000"/>
                <w:sz w:val="20"/>
              </w:rPr>
              <w:t>Республики Казахстан</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национальной</w:t>
            </w:r>
          </w:p>
          <w:p>
            <w:pPr>
              <w:spacing w:after="20"/>
              <w:ind w:left="20"/>
              <w:jc w:val="both"/>
            </w:pPr>
            <w:r>
              <w:rPr>
                <w:rFonts w:ascii="Times New Roman"/>
                <w:b w:val="false"/>
                <w:i w:val="false"/>
                <w:color w:val="000000"/>
                <w:sz w:val="20"/>
              </w:rPr>
              <w:t>экономики</w:t>
            </w:r>
          </w:p>
          <w:p>
            <w:pPr>
              <w:spacing w:after="20"/>
              <w:ind w:left="20"/>
              <w:jc w:val="both"/>
            </w:pPr>
            <w:r>
              <w:rPr>
                <w:rFonts w:ascii="Times New Roman"/>
                <w:b w:val="false"/>
                <w:i w:val="false"/>
                <w:color w:val="000000"/>
                <w:sz w:val="20"/>
              </w:rPr>
              <w:t>Республики Казахстан</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А. Смаилов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Р. Даленов</w:t>
            </w:r>
          </w:p>
        </w:tc>
      </w:tr>
    </w:tbl>
    <w:p>
      <w:pPr>
        <w:spacing w:after="0"/>
        <w:ind w:left="0"/>
        <w:jc w:val="both"/>
      </w:pPr>
      <w:bookmarkStart w:name="z15"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Комитет по правовой</w:t>
      </w:r>
    </w:p>
    <w:p>
      <w:pPr>
        <w:spacing w:after="0"/>
        <w:ind w:left="0"/>
        <w:jc w:val="both"/>
      </w:pPr>
      <w:r>
        <w:rPr>
          <w:rFonts w:ascii="Times New Roman"/>
          <w:b w:val="false"/>
          <w:i w:val="false"/>
          <w:color w:val="000000"/>
          <w:sz w:val="28"/>
        </w:rPr>
        <w:t>статистике 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июля 2019 года № 724</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июля 2019 года № 65</w:t>
            </w:r>
          </w:p>
        </w:tc>
      </w:tr>
    </w:tbl>
    <w:bookmarkStart w:name="z513" w:id="13"/>
    <w:p>
      <w:pPr>
        <w:spacing w:after="0"/>
        <w:ind w:left="0"/>
        <w:jc w:val="left"/>
      </w:pPr>
      <w:r>
        <w:rPr>
          <w:rFonts w:ascii="Times New Roman"/>
          <w:b/>
          <w:i w:val="false"/>
          <w:color w:val="000000"/>
        </w:rPr>
        <w:t xml:space="preserve"> Критерии оценки степени риска в области аудиторской деятельности</w:t>
      </w:r>
    </w:p>
    <w:bookmarkEnd w:id="13"/>
    <w:p>
      <w:pPr>
        <w:spacing w:after="0"/>
        <w:ind w:left="0"/>
        <w:jc w:val="both"/>
      </w:pPr>
      <w:r>
        <w:rPr>
          <w:rFonts w:ascii="Times New Roman"/>
          <w:b w:val="false"/>
          <w:i w:val="false"/>
          <w:color w:val="ff0000"/>
          <w:sz w:val="28"/>
        </w:rPr>
        <w:t xml:space="preserve">
      Сноска. Приложение 1 -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Заместителя Премьер-Министра - Министра финансов РК от 05.06.2023 № 606 и Министра национальной экономики РК от 05.06.2023 № 99 (вводится в действие по истечении десяти календарных дней после дня его первого официального опубликования).</w:t>
      </w:r>
    </w:p>
    <w:bookmarkStart w:name="z514" w:id="14"/>
    <w:p>
      <w:pPr>
        <w:spacing w:after="0"/>
        <w:ind w:left="0"/>
        <w:jc w:val="left"/>
      </w:pPr>
      <w:r>
        <w:rPr>
          <w:rFonts w:ascii="Times New Roman"/>
          <w:b/>
          <w:i w:val="false"/>
          <w:color w:val="000000"/>
        </w:rPr>
        <w:t xml:space="preserve"> Глава 1. Общие положения</w:t>
      </w:r>
    </w:p>
    <w:bookmarkEnd w:id="14"/>
    <w:bookmarkStart w:name="z515" w:id="15"/>
    <w:p>
      <w:pPr>
        <w:spacing w:after="0"/>
        <w:ind w:left="0"/>
        <w:jc w:val="both"/>
      </w:pPr>
      <w:r>
        <w:rPr>
          <w:rFonts w:ascii="Times New Roman"/>
          <w:b w:val="false"/>
          <w:i w:val="false"/>
          <w:color w:val="000000"/>
          <w:sz w:val="28"/>
        </w:rPr>
        <w:t xml:space="preserve">
      1. Настоящие Критерии оценки степени риска в области аудиторской деятельности (далее – Критерии) разработаны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и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 (далее – Кодекс),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22 июня 2022 года № 48 "Об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 3 "Об утверждении Правил формирования государственными органами системы оценки рисков и формы проверочных листов" (зарегистрирован в Реестре государственной регистрации нормативных правовых актов под № 28577)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формы проверочного листа" (зарегистрирован в Реестре государственной регистрации нормативных правовых актов под № 17371), для отнесения субъектов контроля, осуществляющих аудиторскую деятельность, к степеням риска.</w:t>
      </w:r>
    </w:p>
    <w:bookmarkEnd w:id="15"/>
    <w:bookmarkStart w:name="z516" w:id="16"/>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16"/>
    <w:bookmarkStart w:name="z517" w:id="17"/>
    <w:p>
      <w:pPr>
        <w:spacing w:after="0"/>
        <w:ind w:left="0"/>
        <w:jc w:val="both"/>
      </w:pPr>
      <w:r>
        <w:rPr>
          <w:rFonts w:ascii="Times New Roman"/>
          <w:b w:val="false"/>
          <w:i w:val="false"/>
          <w:color w:val="000000"/>
          <w:sz w:val="28"/>
        </w:rPr>
        <w:t>
      1) балл – количественная мера исчисления риска;</w:t>
      </w:r>
    </w:p>
    <w:bookmarkEnd w:id="17"/>
    <w:bookmarkStart w:name="z518" w:id="18"/>
    <w:p>
      <w:pPr>
        <w:spacing w:after="0"/>
        <w:ind w:left="0"/>
        <w:jc w:val="both"/>
      </w:pPr>
      <w:r>
        <w:rPr>
          <w:rFonts w:ascii="Times New Roman"/>
          <w:b w:val="false"/>
          <w:i w:val="false"/>
          <w:color w:val="000000"/>
          <w:sz w:val="28"/>
        </w:rPr>
        <w:t>
      2) субъект (объект) контроля – аккредитованные профессиональные аудиторские организации и (или) аудиторские организации;</w:t>
      </w:r>
    </w:p>
    <w:bookmarkEnd w:id="18"/>
    <w:bookmarkStart w:name="z519" w:id="19"/>
    <w:p>
      <w:pPr>
        <w:spacing w:after="0"/>
        <w:ind w:left="0"/>
        <w:jc w:val="both"/>
      </w:pPr>
      <w:r>
        <w:rPr>
          <w:rFonts w:ascii="Times New Roman"/>
          <w:b w:val="false"/>
          <w:i w:val="false"/>
          <w:color w:val="000000"/>
          <w:sz w:val="28"/>
        </w:rPr>
        <w:t>
      3) нормализация данных – статистическая процедура, предусматривающая приведение значений, измеренных в различных шкалах, к условно общей шкале;</w:t>
      </w:r>
    </w:p>
    <w:bookmarkEnd w:id="19"/>
    <w:bookmarkStart w:name="z520" w:id="20"/>
    <w:p>
      <w:pPr>
        <w:spacing w:after="0"/>
        <w:ind w:left="0"/>
        <w:jc w:val="both"/>
      </w:pPr>
      <w:r>
        <w:rPr>
          <w:rFonts w:ascii="Times New Roman"/>
          <w:b w:val="false"/>
          <w:i w:val="false"/>
          <w:color w:val="000000"/>
          <w:sz w:val="28"/>
        </w:rPr>
        <w:t>
      4) значительные нарушения – нарушения требований законодательства Республики Казахстан в области аудиторской деятельности, не влекущие административную ответственность, но затрагивающие законные интересы физических и юридических лиц, государства;</w:t>
      </w:r>
    </w:p>
    <w:bookmarkEnd w:id="20"/>
    <w:bookmarkStart w:name="z521" w:id="21"/>
    <w:p>
      <w:pPr>
        <w:spacing w:after="0"/>
        <w:ind w:left="0"/>
        <w:jc w:val="both"/>
      </w:pPr>
      <w:r>
        <w:rPr>
          <w:rFonts w:ascii="Times New Roman"/>
          <w:b w:val="false"/>
          <w:i w:val="false"/>
          <w:color w:val="000000"/>
          <w:sz w:val="28"/>
        </w:rPr>
        <w:t>
      5) незначительные нарушения – не устранение выявленных недостатков в срок, определяемый решением комитета по контролю качества и (или) профессиональной аудиторской организации, в случае получения оценки меньше чем "4" в течение 2 (двух) месяцев;</w:t>
      </w:r>
    </w:p>
    <w:bookmarkEnd w:id="21"/>
    <w:bookmarkStart w:name="z522" w:id="22"/>
    <w:p>
      <w:pPr>
        <w:spacing w:after="0"/>
        <w:ind w:left="0"/>
        <w:jc w:val="both"/>
      </w:pPr>
      <w:r>
        <w:rPr>
          <w:rFonts w:ascii="Times New Roman"/>
          <w:b w:val="false"/>
          <w:i w:val="false"/>
          <w:color w:val="000000"/>
          <w:sz w:val="28"/>
        </w:rPr>
        <w:t xml:space="preserve">
      6) грубые нарушения – нарушения требований законодательства Республики Казахстан, влекущие наложение административной ответственности согласно </w:t>
      </w:r>
      <w:r>
        <w:rPr>
          <w:rFonts w:ascii="Times New Roman"/>
          <w:b w:val="false"/>
          <w:i w:val="false"/>
          <w:color w:val="000000"/>
          <w:sz w:val="28"/>
        </w:rPr>
        <w:t>Кодексу</w:t>
      </w:r>
      <w:r>
        <w:rPr>
          <w:rFonts w:ascii="Times New Roman"/>
          <w:b w:val="false"/>
          <w:i w:val="false"/>
          <w:color w:val="000000"/>
          <w:sz w:val="28"/>
        </w:rPr>
        <w:t xml:space="preserve"> Республики Казахстан "Об административных правонарушениях", которые затрагивают интересы государства;</w:t>
      </w:r>
    </w:p>
    <w:bookmarkEnd w:id="22"/>
    <w:bookmarkStart w:name="z523" w:id="23"/>
    <w:p>
      <w:pPr>
        <w:spacing w:after="0"/>
        <w:ind w:left="0"/>
        <w:jc w:val="both"/>
      </w:pPr>
      <w:r>
        <w:rPr>
          <w:rFonts w:ascii="Times New Roman"/>
          <w:b w:val="false"/>
          <w:i w:val="false"/>
          <w:color w:val="000000"/>
          <w:sz w:val="28"/>
        </w:rPr>
        <w:t>
      7) риск – вероятность причинения вреда в результате деятельности субъекта контроля законным интересам физических и юридических лиц, имущественным интересам государства с учетом степени тяжести его последствий;</w:t>
      </w:r>
    </w:p>
    <w:bookmarkEnd w:id="23"/>
    <w:bookmarkStart w:name="z524" w:id="24"/>
    <w:p>
      <w:pPr>
        <w:spacing w:after="0"/>
        <w:ind w:left="0"/>
        <w:jc w:val="both"/>
      </w:pPr>
      <w:r>
        <w:rPr>
          <w:rFonts w:ascii="Times New Roman"/>
          <w:b w:val="false"/>
          <w:i w:val="false"/>
          <w:color w:val="000000"/>
          <w:sz w:val="28"/>
        </w:rPr>
        <w:t>
      8)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 и (или) проверок на соответствие квалификационным или разрешительным требованиям (далее – проверка на соответствие требованиям)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(или) освобождения такого субъекта (объекта) контроля от профилактического контроля с посещением субъекта (объекта) контроля и (или) проверок на соответствие требованиям;</w:t>
      </w:r>
    </w:p>
    <w:bookmarkEnd w:id="24"/>
    <w:bookmarkStart w:name="z525" w:id="25"/>
    <w:p>
      <w:pPr>
        <w:spacing w:after="0"/>
        <w:ind w:left="0"/>
        <w:jc w:val="both"/>
      </w:pPr>
      <w:r>
        <w:rPr>
          <w:rFonts w:ascii="Times New Roman"/>
          <w:b w:val="false"/>
          <w:i w:val="false"/>
          <w:color w:val="000000"/>
          <w:sz w:val="28"/>
        </w:rPr>
        <w:t>
      9)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особенностями отраслевого развития и факторами, влияющими на это развитие, позволяющих отнести субъекты (объекты) контроля к различным степеням риска;</w:t>
      </w:r>
    </w:p>
    <w:bookmarkEnd w:id="25"/>
    <w:bookmarkStart w:name="z526" w:id="26"/>
    <w:p>
      <w:pPr>
        <w:spacing w:after="0"/>
        <w:ind w:left="0"/>
        <w:jc w:val="both"/>
      </w:pPr>
      <w:r>
        <w:rPr>
          <w:rFonts w:ascii="Times New Roman"/>
          <w:b w:val="false"/>
          <w:i w:val="false"/>
          <w:color w:val="000000"/>
          <w:sz w:val="28"/>
        </w:rPr>
        <w:t>
      10)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определенной сфере деятельности и не зависящие непосредственно от отдельного субъекта (объекта) контроля;</w:t>
      </w:r>
    </w:p>
    <w:bookmarkEnd w:id="26"/>
    <w:bookmarkStart w:name="z527" w:id="27"/>
    <w:p>
      <w:pPr>
        <w:spacing w:after="0"/>
        <w:ind w:left="0"/>
        <w:jc w:val="both"/>
      </w:pPr>
      <w:r>
        <w:rPr>
          <w:rFonts w:ascii="Times New Roman"/>
          <w:b w:val="false"/>
          <w:i w:val="false"/>
          <w:color w:val="000000"/>
          <w:sz w:val="28"/>
        </w:rPr>
        <w:t>
      11)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27"/>
    <w:bookmarkStart w:name="z528" w:id="28"/>
    <w:p>
      <w:pPr>
        <w:spacing w:after="0"/>
        <w:ind w:left="0"/>
        <w:jc w:val="both"/>
      </w:pPr>
      <w:r>
        <w:rPr>
          <w:rFonts w:ascii="Times New Roman"/>
          <w:b w:val="false"/>
          <w:i w:val="false"/>
          <w:color w:val="000000"/>
          <w:sz w:val="28"/>
        </w:rPr>
        <w:t>
      12) проверочный лист – перечень требований, предъявляемых к деятельности субъектов (объектов) контроля, несоблюдение которых влечет за собой угрозу законным интересам физических и юридических лиц, государства;</w:t>
      </w:r>
    </w:p>
    <w:bookmarkEnd w:id="28"/>
    <w:bookmarkStart w:name="z529" w:id="29"/>
    <w:p>
      <w:pPr>
        <w:spacing w:after="0"/>
        <w:ind w:left="0"/>
        <w:jc w:val="both"/>
      </w:pPr>
      <w:r>
        <w:rPr>
          <w:rFonts w:ascii="Times New Roman"/>
          <w:b w:val="false"/>
          <w:i w:val="false"/>
          <w:color w:val="000000"/>
          <w:sz w:val="28"/>
        </w:rPr>
        <w:t xml:space="preserve">
      13) выборочная совокупность (выборка) – перечень оцениваемых субъектов (объектов), относимых к однородной группе субъектов (объектов) контроля в конкретной сфере государственного контроля,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143 Кодекса.</w:t>
      </w:r>
    </w:p>
    <w:bookmarkEnd w:id="29"/>
    <w:bookmarkStart w:name="z530" w:id="30"/>
    <w:p>
      <w:pPr>
        <w:spacing w:after="0"/>
        <w:ind w:left="0"/>
        <w:jc w:val="left"/>
      </w:pPr>
      <w:r>
        <w:rPr>
          <w:rFonts w:ascii="Times New Roman"/>
          <w:b/>
          <w:i w:val="false"/>
          <w:color w:val="000000"/>
        </w:rPr>
        <w:t xml:space="preserve"> Глава 2. Порядок формирования системы оценки и управления рисками при проведении проверки на соответствие требованиям и профилактического контроля субъектов (объектов) контроля</w:t>
      </w:r>
    </w:p>
    <w:bookmarkEnd w:id="30"/>
    <w:bookmarkStart w:name="z531" w:id="31"/>
    <w:p>
      <w:pPr>
        <w:spacing w:after="0"/>
        <w:ind w:left="0"/>
        <w:jc w:val="both"/>
      </w:pPr>
      <w:r>
        <w:rPr>
          <w:rFonts w:ascii="Times New Roman"/>
          <w:b w:val="false"/>
          <w:i w:val="false"/>
          <w:color w:val="000000"/>
          <w:sz w:val="28"/>
        </w:rPr>
        <w:t>
      3. Для целей управления рисками при осуществлении профилактического контроля с посещением субъекта (объекта) контроля и (или) проверки в области аудиторской деятельности на соответствие требованиям, критерии оценки степени риска для проведения проверки на соответствие требованиям и профилактического контроля субъектов (объектов) контроля формируются посредством определения объективных и субъективных критериев, которые осуществляются поэтапно (Мультикритериальный анализ решений).</w:t>
      </w:r>
    </w:p>
    <w:bookmarkEnd w:id="31"/>
    <w:bookmarkStart w:name="z532" w:id="32"/>
    <w:p>
      <w:pPr>
        <w:spacing w:after="0"/>
        <w:ind w:left="0"/>
        <w:jc w:val="both"/>
      </w:pPr>
      <w:r>
        <w:rPr>
          <w:rFonts w:ascii="Times New Roman"/>
          <w:b w:val="false"/>
          <w:i w:val="false"/>
          <w:color w:val="000000"/>
          <w:sz w:val="28"/>
        </w:rPr>
        <w:t>
      На первом этапе субъектов (объектов) контроля по объективным критериям относят к одной из следующих степеней риска:</w:t>
      </w:r>
    </w:p>
    <w:bookmarkEnd w:id="32"/>
    <w:bookmarkStart w:name="z533" w:id="33"/>
    <w:p>
      <w:pPr>
        <w:spacing w:after="0"/>
        <w:ind w:left="0"/>
        <w:jc w:val="both"/>
      </w:pPr>
      <w:r>
        <w:rPr>
          <w:rFonts w:ascii="Times New Roman"/>
          <w:b w:val="false"/>
          <w:i w:val="false"/>
          <w:color w:val="000000"/>
          <w:sz w:val="28"/>
        </w:rPr>
        <w:t>
      1) высокий риск;</w:t>
      </w:r>
    </w:p>
    <w:bookmarkEnd w:id="33"/>
    <w:bookmarkStart w:name="z534" w:id="34"/>
    <w:p>
      <w:pPr>
        <w:spacing w:after="0"/>
        <w:ind w:left="0"/>
        <w:jc w:val="both"/>
      </w:pPr>
      <w:r>
        <w:rPr>
          <w:rFonts w:ascii="Times New Roman"/>
          <w:b w:val="false"/>
          <w:i w:val="false"/>
          <w:color w:val="000000"/>
          <w:sz w:val="28"/>
        </w:rPr>
        <w:t>
      2) средний риск.</w:t>
      </w:r>
    </w:p>
    <w:bookmarkEnd w:id="34"/>
    <w:bookmarkStart w:name="z535" w:id="35"/>
    <w:p>
      <w:pPr>
        <w:spacing w:after="0"/>
        <w:ind w:left="0"/>
        <w:jc w:val="both"/>
      </w:pPr>
      <w:r>
        <w:rPr>
          <w:rFonts w:ascii="Times New Roman"/>
          <w:b w:val="false"/>
          <w:i w:val="false"/>
          <w:color w:val="000000"/>
          <w:sz w:val="28"/>
        </w:rPr>
        <w:t>
      В отношении субъектов (объектов) контроля, отнесенных к высокой и средней степени риска по объективным критериям, проводится проверка на соответствие требованиям, профилактический контроль с посещением субъекта (объекта) контроля и внеплановые проверки.</w:t>
      </w:r>
    </w:p>
    <w:bookmarkEnd w:id="35"/>
    <w:bookmarkStart w:name="z536" w:id="36"/>
    <w:p>
      <w:pPr>
        <w:spacing w:after="0"/>
        <w:ind w:left="0"/>
        <w:jc w:val="both"/>
      </w:pPr>
      <w:r>
        <w:rPr>
          <w:rFonts w:ascii="Times New Roman"/>
          <w:b w:val="false"/>
          <w:i w:val="false"/>
          <w:color w:val="000000"/>
          <w:sz w:val="28"/>
        </w:rPr>
        <w:t>
      На втором этапе субъектов (объектов) контроля по субъективным критериям относят к одной из следующих степеней риска:</w:t>
      </w:r>
    </w:p>
    <w:bookmarkEnd w:id="36"/>
    <w:bookmarkStart w:name="z537" w:id="37"/>
    <w:p>
      <w:pPr>
        <w:spacing w:after="0"/>
        <w:ind w:left="0"/>
        <w:jc w:val="both"/>
      </w:pPr>
      <w:r>
        <w:rPr>
          <w:rFonts w:ascii="Times New Roman"/>
          <w:b w:val="false"/>
          <w:i w:val="false"/>
          <w:color w:val="000000"/>
          <w:sz w:val="28"/>
        </w:rPr>
        <w:t>
      1) высокий риск;</w:t>
      </w:r>
    </w:p>
    <w:bookmarkEnd w:id="37"/>
    <w:bookmarkStart w:name="z538" w:id="38"/>
    <w:p>
      <w:pPr>
        <w:spacing w:after="0"/>
        <w:ind w:left="0"/>
        <w:jc w:val="both"/>
      </w:pPr>
      <w:r>
        <w:rPr>
          <w:rFonts w:ascii="Times New Roman"/>
          <w:b w:val="false"/>
          <w:i w:val="false"/>
          <w:color w:val="000000"/>
          <w:sz w:val="28"/>
        </w:rPr>
        <w:t>
      2) средний риск.</w:t>
      </w:r>
    </w:p>
    <w:bookmarkEnd w:id="38"/>
    <w:bookmarkStart w:name="z539" w:id="39"/>
    <w:p>
      <w:pPr>
        <w:spacing w:after="0"/>
        <w:ind w:left="0"/>
        <w:jc w:val="both"/>
      </w:pPr>
      <w:r>
        <w:rPr>
          <w:rFonts w:ascii="Times New Roman"/>
          <w:b w:val="false"/>
          <w:i w:val="false"/>
          <w:color w:val="000000"/>
          <w:sz w:val="28"/>
        </w:rPr>
        <w:t>
      По показателям степени риска по субъективным критериям субъект (объект) контроля относится:</w:t>
      </w:r>
    </w:p>
    <w:bookmarkEnd w:id="39"/>
    <w:bookmarkStart w:name="z540" w:id="40"/>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40"/>
    <w:bookmarkStart w:name="z541" w:id="41"/>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41"/>
    <w:bookmarkStart w:name="z542" w:id="42"/>
    <w:p>
      <w:pPr>
        <w:spacing w:after="0"/>
        <w:ind w:left="0"/>
        <w:jc w:val="both"/>
      </w:pPr>
      <w:r>
        <w:rPr>
          <w:rFonts w:ascii="Times New Roman"/>
          <w:b w:val="false"/>
          <w:i w:val="false"/>
          <w:color w:val="000000"/>
          <w:sz w:val="28"/>
        </w:rPr>
        <w:t>
      4. В зависимости от возможного риска и значимости проблемы, единичности или системности нарушения, анализа принятых ранее решений по каждому источнику информации требования, предъявляемые к деятельности субъектов (объектов) контроля, соответствуют степени нарушения – грубое, значительное и незначительное.</w:t>
      </w:r>
    </w:p>
    <w:bookmarkEnd w:id="42"/>
    <w:bookmarkStart w:name="z543" w:id="43"/>
    <w:p>
      <w:pPr>
        <w:spacing w:after="0"/>
        <w:ind w:left="0"/>
        <w:jc w:val="both"/>
      </w:pPr>
      <w:r>
        <w:rPr>
          <w:rFonts w:ascii="Times New Roman"/>
          <w:b w:val="false"/>
          <w:i w:val="false"/>
          <w:color w:val="000000"/>
          <w:sz w:val="28"/>
        </w:rPr>
        <w:t xml:space="preserve">
      Степень нарушения (грубое, значительное, незначительное) присваивается в соответствии с установленными определениями грубых, значительных, незначительных нарушений по субъективным критериям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Критериям.</w:t>
      </w:r>
    </w:p>
    <w:bookmarkEnd w:id="43"/>
    <w:bookmarkStart w:name="z544" w:id="44"/>
    <w:p>
      <w:pPr>
        <w:spacing w:after="0"/>
        <w:ind w:left="0"/>
        <w:jc w:val="both"/>
      </w:pPr>
      <w:r>
        <w:rPr>
          <w:rFonts w:ascii="Times New Roman"/>
          <w:b w:val="false"/>
          <w:i w:val="false"/>
          <w:color w:val="000000"/>
          <w:sz w:val="28"/>
        </w:rPr>
        <w:t>
      5. Критерии оценки степени риска для проведения проверки на соответствие требованиям и профилактического контроля субъектов (объектов) контроля в области аудиторской деятельности формируются посредством определения объективных и субъективных критериев.</w:t>
      </w:r>
    </w:p>
    <w:bookmarkEnd w:id="44"/>
    <w:bookmarkStart w:name="z545" w:id="45"/>
    <w:p>
      <w:pPr>
        <w:spacing w:after="0"/>
        <w:ind w:left="0"/>
        <w:jc w:val="left"/>
      </w:pPr>
      <w:r>
        <w:rPr>
          <w:rFonts w:ascii="Times New Roman"/>
          <w:b/>
          <w:i w:val="false"/>
          <w:color w:val="000000"/>
        </w:rPr>
        <w:t xml:space="preserve"> Параграф 1. Объективные критерии оценки степени риска</w:t>
      </w:r>
    </w:p>
    <w:bookmarkEnd w:id="45"/>
    <w:bookmarkStart w:name="z546" w:id="46"/>
    <w:p>
      <w:pPr>
        <w:spacing w:after="0"/>
        <w:ind w:left="0"/>
        <w:jc w:val="both"/>
      </w:pPr>
      <w:r>
        <w:rPr>
          <w:rFonts w:ascii="Times New Roman"/>
          <w:b w:val="false"/>
          <w:i w:val="false"/>
          <w:color w:val="000000"/>
          <w:sz w:val="28"/>
        </w:rPr>
        <w:t>
      6. Определение объективных критериев осуществляется посредством определения риска.</w:t>
      </w:r>
    </w:p>
    <w:bookmarkEnd w:id="46"/>
    <w:bookmarkStart w:name="z547" w:id="47"/>
    <w:p>
      <w:pPr>
        <w:spacing w:after="0"/>
        <w:ind w:left="0"/>
        <w:jc w:val="both"/>
      </w:pPr>
      <w:r>
        <w:rPr>
          <w:rFonts w:ascii="Times New Roman"/>
          <w:b w:val="false"/>
          <w:i w:val="false"/>
          <w:color w:val="000000"/>
          <w:sz w:val="28"/>
        </w:rPr>
        <w:t>
      7. После проведения анализа всех возможных рисков субъекты (объекты) контроля распределяются по двум степеням риска (высокая и средняя).</w:t>
      </w:r>
    </w:p>
    <w:bookmarkEnd w:id="47"/>
    <w:bookmarkStart w:name="z548" w:id="48"/>
    <w:p>
      <w:pPr>
        <w:spacing w:after="0"/>
        <w:ind w:left="0"/>
        <w:jc w:val="both"/>
      </w:pPr>
      <w:r>
        <w:rPr>
          <w:rFonts w:ascii="Times New Roman"/>
          <w:b w:val="false"/>
          <w:i w:val="false"/>
          <w:color w:val="000000"/>
          <w:sz w:val="28"/>
        </w:rPr>
        <w:t>
      8. По объективным критериям к субъектам контроля с высокой степенью риска относятся:</w:t>
      </w:r>
    </w:p>
    <w:bookmarkEnd w:id="48"/>
    <w:bookmarkStart w:name="z549" w:id="49"/>
    <w:p>
      <w:pPr>
        <w:spacing w:after="0"/>
        <w:ind w:left="0"/>
        <w:jc w:val="both"/>
      </w:pPr>
      <w:r>
        <w:rPr>
          <w:rFonts w:ascii="Times New Roman"/>
          <w:b w:val="false"/>
          <w:i w:val="false"/>
          <w:color w:val="000000"/>
          <w:sz w:val="28"/>
        </w:rPr>
        <w:t>
      1) аудиторские организации, которые проводят обязательный аудит;</w:t>
      </w:r>
    </w:p>
    <w:bookmarkEnd w:id="49"/>
    <w:bookmarkStart w:name="z550" w:id="50"/>
    <w:p>
      <w:pPr>
        <w:spacing w:after="0"/>
        <w:ind w:left="0"/>
        <w:jc w:val="both"/>
      </w:pPr>
      <w:r>
        <w:rPr>
          <w:rFonts w:ascii="Times New Roman"/>
          <w:b w:val="false"/>
          <w:i w:val="false"/>
          <w:color w:val="000000"/>
          <w:sz w:val="28"/>
        </w:rPr>
        <w:t>
      2) профессиональные аудиторские организации, членами которых являются аудиторские организации, которые проводят обязательный аудит.</w:t>
      </w:r>
    </w:p>
    <w:bookmarkEnd w:id="50"/>
    <w:bookmarkStart w:name="z551" w:id="51"/>
    <w:p>
      <w:pPr>
        <w:spacing w:after="0"/>
        <w:ind w:left="0"/>
        <w:jc w:val="both"/>
      </w:pPr>
      <w:r>
        <w:rPr>
          <w:rFonts w:ascii="Times New Roman"/>
          <w:b w:val="false"/>
          <w:i w:val="false"/>
          <w:color w:val="000000"/>
          <w:sz w:val="28"/>
        </w:rPr>
        <w:t>
      9. По объективным критериям к субъектам контроля со средней степенью риска относятся:</w:t>
      </w:r>
    </w:p>
    <w:bookmarkEnd w:id="51"/>
    <w:bookmarkStart w:name="z552" w:id="52"/>
    <w:p>
      <w:pPr>
        <w:spacing w:after="0"/>
        <w:ind w:left="0"/>
        <w:jc w:val="both"/>
      </w:pPr>
      <w:r>
        <w:rPr>
          <w:rFonts w:ascii="Times New Roman"/>
          <w:b w:val="false"/>
          <w:i w:val="false"/>
          <w:color w:val="000000"/>
          <w:sz w:val="28"/>
        </w:rPr>
        <w:t>
      1) аудиторские организации, которые не проводят обязательный аудит;</w:t>
      </w:r>
    </w:p>
    <w:bookmarkEnd w:id="52"/>
    <w:bookmarkStart w:name="z553" w:id="53"/>
    <w:p>
      <w:pPr>
        <w:spacing w:after="0"/>
        <w:ind w:left="0"/>
        <w:jc w:val="both"/>
      </w:pPr>
      <w:r>
        <w:rPr>
          <w:rFonts w:ascii="Times New Roman"/>
          <w:b w:val="false"/>
          <w:i w:val="false"/>
          <w:color w:val="000000"/>
          <w:sz w:val="28"/>
        </w:rPr>
        <w:t>
      2) профессиональные организации, членами которых являются аудиторские организации, которые не проводят обязательный аудит.</w:t>
      </w:r>
    </w:p>
    <w:bookmarkEnd w:id="53"/>
    <w:bookmarkStart w:name="z554" w:id="54"/>
    <w:p>
      <w:pPr>
        <w:spacing w:after="0"/>
        <w:ind w:left="0"/>
        <w:jc w:val="left"/>
      </w:pPr>
      <w:r>
        <w:rPr>
          <w:rFonts w:ascii="Times New Roman"/>
          <w:b/>
          <w:i w:val="false"/>
          <w:color w:val="000000"/>
        </w:rPr>
        <w:t xml:space="preserve"> Параграф 2. Субъективные критерии оценки степени риска</w:t>
      </w:r>
    </w:p>
    <w:bookmarkEnd w:id="54"/>
    <w:bookmarkStart w:name="z555" w:id="55"/>
    <w:p>
      <w:pPr>
        <w:spacing w:after="0"/>
        <w:ind w:left="0"/>
        <w:jc w:val="both"/>
      </w:pPr>
      <w:r>
        <w:rPr>
          <w:rFonts w:ascii="Times New Roman"/>
          <w:b w:val="false"/>
          <w:i w:val="false"/>
          <w:color w:val="000000"/>
          <w:sz w:val="28"/>
        </w:rPr>
        <w:t>
      10. Определение субъективных критериев осуществляется с применением следующих этапов:</w:t>
      </w:r>
    </w:p>
    <w:bookmarkEnd w:id="55"/>
    <w:bookmarkStart w:name="z556" w:id="56"/>
    <w:p>
      <w:pPr>
        <w:spacing w:after="0"/>
        <w:ind w:left="0"/>
        <w:jc w:val="both"/>
      </w:pPr>
      <w:r>
        <w:rPr>
          <w:rFonts w:ascii="Times New Roman"/>
          <w:b w:val="false"/>
          <w:i w:val="false"/>
          <w:color w:val="000000"/>
          <w:sz w:val="28"/>
        </w:rPr>
        <w:t>
      1) формирование базы данных и сбор информации;</w:t>
      </w:r>
    </w:p>
    <w:bookmarkEnd w:id="56"/>
    <w:bookmarkStart w:name="z557" w:id="57"/>
    <w:p>
      <w:pPr>
        <w:spacing w:after="0"/>
        <w:ind w:left="0"/>
        <w:jc w:val="both"/>
      </w:pPr>
      <w:r>
        <w:rPr>
          <w:rFonts w:ascii="Times New Roman"/>
          <w:b w:val="false"/>
          <w:i w:val="false"/>
          <w:color w:val="000000"/>
          <w:sz w:val="28"/>
        </w:rPr>
        <w:t>
      2) анализ информации и оценка рисков.</w:t>
      </w:r>
    </w:p>
    <w:bookmarkEnd w:id="57"/>
    <w:bookmarkStart w:name="z558" w:id="58"/>
    <w:p>
      <w:pPr>
        <w:spacing w:after="0"/>
        <w:ind w:left="0"/>
        <w:jc w:val="both"/>
      </w:pPr>
      <w:r>
        <w:rPr>
          <w:rFonts w:ascii="Times New Roman"/>
          <w:b w:val="false"/>
          <w:i w:val="false"/>
          <w:color w:val="000000"/>
          <w:sz w:val="28"/>
        </w:rPr>
        <w:t>
      11. Формирование базы данных и сбор информации необходимы для выявления субъектов (объектов) контроля, нарушающих законодательство Республики Казахстан об аудиторской деятельности.</w:t>
      </w:r>
    </w:p>
    <w:bookmarkEnd w:id="58"/>
    <w:bookmarkStart w:name="z559" w:id="59"/>
    <w:p>
      <w:pPr>
        <w:spacing w:after="0"/>
        <w:ind w:left="0"/>
        <w:jc w:val="both"/>
      </w:pPr>
      <w:r>
        <w:rPr>
          <w:rFonts w:ascii="Times New Roman"/>
          <w:b w:val="false"/>
          <w:i w:val="false"/>
          <w:color w:val="000000"/>
          <w:sz w:val="28"/>
        </w:rPr>
        <w:t>
      Для оценки степени рисков по субъективным критериям для проведения профилактического контроля с посещением субъекта (объекта) контроля используются следующие источники информации:</w:t>
      </w:r>
    </w:p>
    <w:bookmarkEnd w:id="59"/>
    <w:bookmarkStart w:name="z560" w:id="60"/>
    <w:p>
      <w:pPr>
        <w:spacing w:after="0"/>
        <w:ind w:left="0"/>
        <w:jc w:val="both"/>
      </w:pPr>
      <w:r>
        <w:rPr>
          <w:rFonts w:ascii="Times New Roman"/>
          <w:b w:val="false"/>
          <w:i w:val="false"/>
          <w:color w:val="000000"/>
          <w:sz w:val="28"/>
        </w:rPr>
        <w:t>
      1) результаты мониторинга отчетности и сведений, представляемых субъектом контроля, в том числе в уполномоченный орган с использованием депозитария финансовой отчетности (далее – депозитарий);</w:t>
      </w:r>
    </w:p>
    <w:bookmarkEnd w:id="60"/>
    <w:bookmarkStart w:name="z561" w:id="61"/>
    <w:p>
      <w:pPr>
        <w:spacing w:after="0"/>
        <w:ind w:left="0"/>
        <w:jc w:val="both"/>
      </w:pPr>
      <w:r>
        <w:rPr>
          <w:rFonts w:ascii="Times New Roman"/>
          <w:b w:val="false"/>
          <w:i w:val="false"/>
          <w:color w:val="000000"/>
          <w:sz w:val="28"/>
        </w:rPr>
        <w:t>
      2) результаты предыдущих проверок и профилактического контроля с посещением субъектов (объектов) контроля.</w:t>
      </w:r>
    </w:p>
    <w:bookmarkEnd w:id="61"/>
    <w:bookmarkStart w:name="z562" w:id="62"/>
    <w:p>
      <w:pPr>
        <w:spacing w:after="0"/>
        <w:ind w:left="0"/>
        <w:jc w:val="both"/>
      </w:pPr>
      <w:r>
        <w:rPr>
          <w:rFonts w:ascii="Times New Roman"/>
          <w:b w:val="false"/>
          <w:i w:val="false"/>
          <w:color w:val="000000"/>
          <w:sz w:val="28"/>
        </w:rPr>
        <w:t>
      Для оценки степени рисков по субъективным критериям для проведения проверки на соответствие требованиям используются следующие источники информации:</w:t>
      </w:r>
    </w:p>
    <w:bookmarkEnd w:id="62"/>
    <w:bookmarkStart w:name="z563" w:id="63"/>
    <w:p>
      <w:pPr>
        <w:spacing w:after="0"/>
        <w:ind w:left="0"/>
        <w:jc w:val="both"/>
      </w:pPr>
      <w:r>
        <w:rPr>
          <w:rFonts w:ascii="Times New Roman"/>
          <w:b w:val="false"/>
          <w:i w:val="false"/>
          <w:color w:val="000000"/>
          <w:sz w:val="28"/>
        </w:rPr>
        <w:t>
      1) результаты мониторинга отчетности и сведений, представляемых субъектом контроля, в том числе в уполномоченный орган с использованием депозитария;</w:t>
      </w:r>
    </w:p>
    <w:bookmarkEnd w:id="63"/>
    <w:bookmarkStart w:name="z564" w:id="64"/>
    <w:p>
      <w:pPr>
        <w:spacing w:after="0"/>
        <w:ind w:left="0"/>
        <w:jc w:val="both"/>
      </w:pPr>
      <w:r>
        <w:rPr>
          <w:rFonts w:ascii="Times New Roman"/>
          <w:b w:val="false"/>
          <w:i w:val="false"/>
          <w:color w:val="000000"/>
          <w:sz w:val="28"/>
        </w:rPr>
        <w:t>
      2) результаты предыдущих проверок субъектов (объектов) контроля.</w:t>
      </w:r>
    </w:p>
    <w:bookmarkEnd w:id="64"/>
    <w:bookmarkStart w:name="z565" w:id="65"/>
    <w:p>
      <w:pPr>
        <w:spacing w:after="0"/>
        <w:ind w:left="0"/>
        <w:jc w:val="both"/>
      </w:pPr>
      <w:r>
        <w:rPr>
          <w:rFonts w:ascii="Times New Roman"/>
          <w:b w:val="false"/>
          <w:i w:val="false"/>
          <w:color w:val="000000"/>
          <w:sz w:val="28"/>
        </w:rPr>
        <w:t>
      12. На основании имеющихся источников информации, уполномоченный орган в области аудиторской деятельности формирует данные по субъективным критериям, подлежащие анализу и оценке.</w:t>
      </w:r>
    </w:p>
    <w:bookmarkEnd w:id="65"/>
    <w:bookmarkStart w:name="z566" w:id="66"/>
    <w:p>
      <w:pPr>
        <w:spacing w:after="0"/>
        <w:ind w:left="0"/>
        <w:jc w:val="both"/>
      </w:pPr>
      <w:r>
        <w:rPr>
          <w:rFonts w:ascii="Times New Roman"/>
          <w:b w:val="false"/>
          <w:i w:val="false"/>
          <w:color w:val="000000"/>
          <w:sz w:val="28"/>
        </w:rPr>
        <w:t>
      13. Анализ и оценка субъективных критериев позволяет сконцентрировать проведение проверки на соответствие требованиям и профилактический контроль субъекта (объекта) контроля в отношении субъекта (объекта) контроля с наибольшим потенциальным риском.</w:t>
      </w:r>
    </w:p>
    <w:bookmarkEnd w:id="66"/>
    <w:bookmarkStart w:name="z567" w:id="67"/>
    <w:p>
      <w:pPr>
        <w:spacing w:after="0"/>
        <w:ind w:left="0"/>
        <w:jc w:val="both"/>
      </w:pPr>
      <w:r>
        <w:rPr>
          <w:rFonts w:ascii="Times New Roman"/>
          <w:b w:val="false"/>
          <w:i w:val="false"/>
          <w:color w:val="000000"/>
          <w:sz w:val="28"/>
        </w:rPr>
        <w:t>
      При этом,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законодательством Республики Казахстан.</w:t>
      </w:r>
    </w:p>
    <w:bookmarkEnd w:id="67"/>
    <w:bookmarkStart w:name="z568" w:id="68"/>
    <w:p>
      <w:pPr>
        <w:spacing w:after="0"/>
        <w:ind w:left="0"/>
        <w:jc w:val="both"/>
      </w:pPr>
      <w:r>
        <w:rPr>
          <w:rFonts w:ascii="Times New Roman"/>
          <w:b w:val="false"/>
          <w:i w:val="false"/>
          <w:color w:val="000000"/>
          <w:sz w:val="28"/>
        </w:rPr>
        <w:t>
      В отношении субъектов контроля, устранивших в полном объеме выданные нарушения по итогам проведенного предыдущего профилактического контроля с посещением и (или) проверки на соответствие требованиям, не допускается включение их при формировании графиков и списков на очередной период государственного контроля.</w:t>
      </w:r>
    </w:p>
    <w:bookmarkEnd w:id="68"/>
    <w:bookmarkStart w:name="z569" w:id="69"/>
    <w:p>
      <w:pPr>
        <w:spacing w:after="0"/>
        <w:ind w:left="0"/>
        <w:jc w:val="both"/>
      </w:pPr>
      <w:r>
        <w:rPr>
          <w:rFonts w:ascii="Times New Roman"/>
          <w:b w:val="false"/>
          <w:i w:val="false"/>
          <w:color w:val="000000"/>
          <w:sz w:val="28"/>
        </w:rPr>
        <w:t>
      14. Исходя из приоритетности применяемых источников информации и значимости показателей субъективных критериев, в соответствии с порядком расчета общего показателя степени риска по субъективным критериям, определенном в главе 3 настоящих Критериев, рассчитывается показатель степени риска по субъективным критериям по шкале от 0 до 100.</w:t>
      </w:r>
    </w:p>
    <w:bookmarkEnd w:id="69"/>
    <w:bookmarkStart w:name="z570" w:id="70"/>
    <w:p>
      <w:pPr>
        <w:spacing w:after="0"/>
        <w:ind w:left="0"/>
        <w:jc w:val="both"/>
      </w:pPr>
      <w:r>
        <w:rPr>
          <w:rFonts w:ascii="Times New Roman"/>
          <w:b w:val="false"/>
          <w:i w:val="false"/>
          <w:color w:val="000000"/>
          <w:sz w:val="28"/>
        </w:rPr>
        <w:t xml:space="preserve">
      Приоритетность применяемых источников информации и значимость показателей субъективных критериев устанавливаются согласно перечню субъективных критериев для определения степени риска по субъективным критериям по форме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настоящим Критериям.</w:t>
      </w:r>
    </w:p>
    <w:bookmarkEnd w:id="70"/>
    <w:bookmarkStart w:name="z571" w:id="71"/>
    <w:p>
      <w:pPr>
        <w:spacing w:after="0"/>
        <w:ind w:left="0"/>
        <w:jc w:val="left"/>
      </w:pPr>
      <w:r>
        <w:rPr>
          <w:rFonts w:ascii="Times New Roman"/>
          <w:b/>
          <w:i w:val="false"/>
          <w:color w:val="000000"/>
        </w:rPr>
        <w:t xml:space="preserve"> Параграф 3. Управление рисками</w:t>
      </w:r>
    </w:p>
    <w:bookmarkEnd w:id="71"/>
    <w:bookmarkStart w:name="z572" w:id="72"/>
    <w:p>
      <w:pPr>
        <w:spacing w:after="0"/>
        <w:ind w:left="0"/>
        <w:jc w:val="both"/>
      </w:pPr>
      <w:r>
        <w:rPr>
          <w:rFonts w:ascii="Times New Roman"/>
          <w:b w:val="false"/>
          <w:i w:val="false"/>
          <w:color w:val="000000"/>
          <w:sz w:val="28"/>
        </w:rPr>
        <w:t>
      15. В целях реализации принципа поощрения добросовестных субъектов контроля и концентрации контроля на нарушителях субъекты (объекты) контроля освобождаются от проведения профилактического контроля с посещением субъекта (объекта) контроля и (или) проверки на соответствие требованиям на период, определяемый критериями оценки степени риска.</w:t>
      </w:r>
    </w:p>
    <w:bookmarkEnd w:id="72"/>
    <w:bookmarkStart w:name="z573" w:id="73"/>
    <w:p>
      <w:pPr>
        <w:spacing w:after="0"/>
        <w:ind w:left="0"/>
        <w:jc w:val="both"/>
      </w:pPr>
      <w:r>
        <w:rPr>
          <w:rFonts w:ascii="Times New Roman"/>
          <w:b w:val="false"/>
          <w:i w:val="false"/>
          <w:color w:val="000000"/>
          <w:sz w:val="28"/>
        </w:rPr>
        <w:t>
      16. Освобождение от профилактического контроля с посещением субъекта (объекта) контроля и (или) проведения проверки на соответствие требованиям возможно на основании применяемых альтернативных (независимых) систем оценки и анализа рисков, аудита, экспертиз в соответствии с критериями оценки степени риска, если такие основания предусмотрены в международных договорах, ратифицированных Республикой Казахстан.</w:t>
      </w:r>
    </w:p>
    <w:bookmarkEnd w:id="73"/>
    <w:bookmarkStart w:name="z574" w:id="74"/>
    <w:p>
      <w:pPr>
        <w:spacing w:after="0"/>
        <w:ind w:left="0"/>
        <w:jc w:val="left"/>
      </w:pPr>
      <w:r>
        <w:rPr>
          <w:rFonts w:ascii="Times New Roman"/>
          <w:b/>
          <w:i w:val="false"/>
          <w:color w:val="000000"/>
        </w:rPr>
        <w:t xml:space="preserve"> Глава 3. Порядок расчета общего показателя степени риска по субъективным критериям</w:t>
      </w:r>
    </w:p>
    <w:bookmarkEnd w:id="74"/>
    <w:bookmarkStart w:name="z575" w:id="75"/>
    <w:p>
      <w:pPr>
        <w:spacing w:after="0"/>
        <w:ind w:left="0"/>
        <w:jc w:val="both"/>
      </w:pPr>
      <w:r>
        <w:rPr>
          <w:rFonts w:ascii="Times New Roman"/>
          <w:b w:val="false"/>
          <w:i w:val="false"/>
          <w:color w:val="000000"/>
          <w:sz w:val="28"/>
        </w:rPr>
        <w:t xml:space="preserve">
      17. Для отнесения субъекта контроля к степени риска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настоящих Критерий применяется следующий порядок расчета показателя степени риска.</w:t>
      </w:r>
    </w:p>
    <w:bookmarkEnd w:id="75"/>
    <w:bookmarkStart w:name="z576" w:id="76"/>
    <w:p>
      <w:pPr>
        <w:spacing w:after="0"/>
        <w:ind w:left="0"/>
        <w:jc w:val="both"/>
      </w:pPr>
      <w:r>
        <w:rPr>
          <w:rFonts w:ascii="Times New Roman"/>
          <w:b w:val="false"/>
          <w:i w:val="false"/>
          <w:color w:val="000000"/>
          <w:sz w:val="28"/>
        </w:rPr>
        <w:t xml:space="preserve">
      Уполномоченный орган в области аудиторской деятельности собирает информацию и формирует базу данных по субъективным критериям из источников в соответствии с </w:t>
      </w:r>
      <w:r>
        <w:rPr>
          <w:rFonts w:ascii="Times New Roman"/>
          <w:b w:val="false"/>
          <w:i w:val="false"/>
          <w:color w:val="000000"/>
          <w:sz w:val="28"/>
        </w:rPr>
        <w:t>пунктом 11</w:t>
      </w:r>
      <w:r>
        <w:rPr>
          <w:rFonts w:ascii="Times New Roman"/>
          <w:b w:val="false"/>
          <w:i w:val="false"/>
          <w:color w:val="000000"/>
          <w:sz w:val="28"/>
        </w:rPr>
        <w:t xml:space="preserve"> настоящих Критериев, в зависимости от проведения профилактического контроля с посещением субъекта (объекта) контроля и (или) проверки на соответствие требованиям.</w:t>
      </w:r>
    </w:p>
    <w:bookmarkEnd w:id="76"/>
    <w:bookmarkStart w:name="z577" w:id="77"/>
    <w:p>
      <w:pPr>
        <w:spacing w:after="0"/>
        <w:ind w:left="0"/>
        <w:jc w:val="both"/>
      </w:pPr>
      <w:r>
        <w:rPr>
          <w:rFonts w:ascii="Times New Roman"/>
          <w:b w:val="false"/>
          <w:i w:val="false"/>
          <w:color w:val="000000"/>
          <w:sz w:val="28"/>
        </w:rPr>
        <w:t xml:space="preserve">
      Расчет показателя степени риска по субъективным критериям (R) осуществляется в депозитарии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(SP) и показателя степени риска по субъективным критериям, определенным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настоящих Критериев (SC), с последующей нормализацией значений данных в диапазон от 0 до 100 баллов.</w:t>
      </w:r>
    </w:p>
    <w:bookmarkEnd w:id="77"/>
    <w:bookmarkStart w:name="z578" w:id="78"/>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 где</w:t>
      </w:r>
    </w:p>
    <w:bookmarkEnd w:id="78"/>
    <w:bookmarkStart w:name="z579" w:id="79"/>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bookmarkEnd w:id="79"/>
    <w:bookmarkStart w:name="z580" w:id="80"/>
    <w:p>
      <w:pPr>
        <w:spacing w:after="0"/>
        <w:ind w:left="0"/>
        <w:jc w:val="both"/>
      </w:pPr>
      <w:r>
        <w:rPr>
          <w:rFonts w:ascii="Times New Roman"/>
          <w:b w:val="false"/>
          <w:i w:val="false"/>
          <w:color w:val="000000"/>
          <w:sz w:val="28"/>
        </w:rPr>
        <w:t>
      SР – показатель степени риска по нарушениям,</w:t>
      </w:r>
    </w:p>
    <w:bookmarkEnd w:id="80"/>
    <w:bookmarkStart w:name="z581" w:id="81"/>
    <w:p>
      <w:pPr>
        <w:spacing w:after="0"/>
        <w:ind w:left="0"/>
        <w:jc w:val="both"/>
      </w:pPr>
      <w:r>
        <w:rPr>
          <w:rFonts w:ascii="Times New Roman"/>
          <w:b w:val="false"/>
          <w:i w:val="false"/>
          <w:color w:val="000000"/>
          <w:sz w:val="28"/>
        </w:rPr>
        <w:t xml:space="preserve">
      SC – показатель степени риска по субъективным критериям, определенным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настоящих Критериев.</w:t>
      </w:r>
    </w:p>
    <w:bookmarkEnd w:id="81"/>
    <w:bookmarkStart w:name="z582" w:id="82"/>
    <w:p>
      <w:pPr>
        <w:spacing w:after="0"/>
        <w:ind w:left="0"/>
        <w:jc w:val="both"/>
      </w:pPr>
      <w:r>
        <w:rPr>
          <w:rFonts w:ascii="Times New Roman"/>
          <w:b w:val="false"/>
          <w:i w:val="false"/>
          <w:color w:val="000000"/>
          <w:sz w:val="28"/>
        </w:rPr>
        <w:t>
      Расчет производится по каждому субъекту (объекту) контроля однородной группы субъектов (объектов) контроля каждой сферы государственного контроля. При этом перечень оцениваемых субъектов (объектов) контроля, относимых к однородной группе субъектов (объектов) контроля одной сферы государственного контроля, образует выборочную совокупность (выборку) для последующей нормализации данных.</w:t>
      </w:r>
    </w:p>
    <w:bookmarkEnd w:id="82"/>
    <w:bookmarkStart w:name="z583" w:id="83"/>
    <w:p>
      <w:pPr>
        <w:spacing w:after="0"/>
        <w:ind w:left="0"/>
        <w:jc w:val="both"/>
      </w:pPr>
      <w:r>
        <w:rPr>
          <w:rFonts w:ascii="Times New Roman"/>
          <w:b w:val="false"/>
          <w:i w:val="false"/>
          <w:color w:val="000000"/>
          <w:sz w:val="28"/>
        </w:rPr>
        <w:t>
      18. По данным, полученным по результатам предыдущих проверок и профилактического контроля с посещением субъектов (объектов) контроля, формируется показатель степени риска по нарушениям, оцениваемый в баллах от 0 до 100.</w:t>
      </w:r>
    </w:p>
    <w:bookmarkEnd w:id="83"/>
    <w:bookmarkStart w:name="z584" w:id="84"/>
    <w:p>
      <w:pPr>
        <w:spacing w:after="0"/>
        <w:ind w:left="0"/>
        <w:jc w:val="both"/>
      </w:pPr>
      <w:r>
        <w:rPr>
          <w:rFonts w:ascii="Times New Roman"/>
          <w:b w:val="false"/>
          <w:i w:val="false"/>
          <w:color w:val="000000"/>
          <w:sz w:val="28"/>
        </w:rPr>
        <w:t xml:space="preserve">
      При выявлении одного грубого нарушения по любому из источников информации, указанных в </w:t>
      </w:r>
      <w:r>
        <w:rPr>
          <w:rFonts w:ascii="Times New Roman"/>
          <w:b w:val="false"/>
          <w:i w:val="false"/>
          <w:color w:val="000000"/>
          <w:sz w:val="28"/>
        </w:rPr>
        <w:t>пункте 12</w:t>
      </w:r>
      <w:r>
        <w:rPr>
          <w:rFonts w:ascii="Times New Roman"/>
          <w:b w:val="false"/>
          <w:i w:val="false"/>
          <w:color w:val="000000"/>
          <w:sz w:val="28"/>
        </w:rPr>
        <w:t xml:space="preserve"> настоящих Критериев, субъекту контроля приравнивается показатель степени риска 100 баллов и в отношении него проводится проверка на соответствие требованиям или профилактический контроль с посещением субъекта (объекта) контроля.</w:t>
      </w:r>
    </w:p>
    <w:bookmarkEnd w:id="84"/>
    <w:bookmarkStart w:name="z585" w:id="85"/>
    <w:p>
      <w:pPr>
        <w:spacing w:after="0"/>
        <w:ind w:left="0"/>
        <w:jc w:val="both"/>
      </w:pPr>
      <w:r>
        <w:rPr>
          <w:rFonts w:ascii="Times New Roman"/>
          <w:b w:val="false"/>
          <w:i w:val="false"/>
          <w:color w:val="000000"/>
          <w:sz w:val="28"/>
        </w:rPr>
        <w:t>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w:t>
      </w:r>
    </w:p>
    <w:bookmarkEnd w:id="85"/>
    <w:bookmarkStart w:name="z586" w:id="86"/>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w:t>
      </w:r>
    </w:p>
    <w:bookmarkEnd w:id="86"/>
    <w:bookmarkStart w:name="z587" w:id="87"/>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87"/>
    <w:bookmarkStart w:name="z588" w:id="88"/>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 где:</w:t>
      </w:r>
    </w:p>
    <w:bookmarkEnd w:id="88"/>
    <w:bookmarkStart w:name="z589" w:id="89"/>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w:t>
      </w:r>
    </w:p>
    <w:bookmarkEnd w:id="89"/>
    <w:bookmarkStart w:name="z590" w:id="90"/>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значительных нарушений;</w:t>
      </w:r>
    </w:p>
    <w:bookmarkEnd w:id="90"/>
    <w:bookmarkStart w:name="z591" w:id="91"/>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значительных нарушений;</w:t>
      </w:r>
    </w:p>
    <w:bookmarkEnd w:id="91"/>
    <w:bookmarkStart w:name="z592" w:id="92"/>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w:t>
      </w:r>
    </w:p>
    <w:bookmarkEnd w:id="92"/>
    <w:bookmarkStart w:name="z593" w:id="93"/>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93"/>
    <w:bookmarkStart w:name="z594" w:id="94"/>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0,3, где:</w:t>
      </w:r>
    </w:p>
    <w:bookmarkEnd w:id="94"/>
    <w:bookmarkStart w:name="z595" w:id="95"/>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p>
    <w:bookmarkEnd w:id="95"/>
    <w:bookmarkStart w:name="z596" w:id="96"/>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незначительных нарушений;</w:t>
      </w:r>
    </w:p>
    <w:bookmarkEnd w:id="96"/>
    <w:bookmarkStart w:name="z597" w:id="97"/>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незначительных нарушений;</w:t>
      </w:r>
    </w:p>
    <w:bookmarkEnd w:id="97"/>
    <w:bookmarkStart w:name="z598" w:id="98"/>
    <w:p>
      <w:pPr>
        <w:spacing w:after="0"/>
        <w:ind w:left="0"/>
        <w:jc w:val="both"/>
      </w:pPr>
      <w:r>
        <w:rPr>
          <w:rFonts w:ascii="Times New Roman"/>
          <w:b w:val="false"/>
          <w:i w:val="false"/>
          <w:color w:val="000000"/>
          <w:sz w:val="28"/>
        </w:rPr>
        <w:t>
      Показатель степени риска по нарушениям (SР) рассчитывается по шкале от 0 до 100 баллов и определяется путем суммирования показателей значительных и незначительных нарушений по следующей формуле:</w:t>
      </w:r>
    </w:p>
    <w:bookmarkEnd w:id="98"/>
    <w:bookmarkStart w:name="z599" w:id="99"/>
    <w:p>
      <w:pPr>
        <w:spacing w:after="0"/>
        <w:ind w:left="0"/>
        <w:jc w:val="both"/>
      </w:pPr>
      <w:r>
        <w:rPr>
          <w:rFonts w:ascii="Times New Roman"/>
          <w:b w:val="false"/>
          <w:i w:val="false"/>
          <w:color w:val="000000"/>
          <w:sz w:val="28"/>
        </w:rPr>
        <w:t>
      SР =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н</w:t>
      </w:r>
      <w:r>
        <w:rPr>
          <w:rFonts w:ascii="Times New Roman"/>
          <w:b w:val="false"/>
          <w:i w:val="false"/>
          <w:color w:val="000000"/>
          <w:sz w:val="28"/>
        </w:rPr>
        <w:t>, где:</w:t>
      </w:r>
    </w:p>
    <w:bookmarkEnd w:id="99"/>
    <w:bookmarkStart w:name="z600" w:id="100"/>
    <w:p>
      <w:pPr>
        <w:spacing w:after="0"/>
        <w:ind w:left="0"/>
        <w:jc w:val="both"/>
      </w:pPr>
      <w:r>
        <w:rPr>
          <w:rFonts w:ascii="Times New Roman"/>
          <w:b w:val="false"/>
          <w:i w:val="false"/>
          <w:color w:val="000000"/>
          <w:sz w:val="28"/>
        </w:rPr>
        <w:t>
      SР – показатель степени риска по нарушениям;</w:t>
      </w:r>
    </w:p>
    <w:bookmarkEnd w:id="100"/>
    <w:bookmarkStart w:name="z601" w:id="101"/>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w:t>
      </w:r>
    </w:p>
    <w:bookmarkEnd w:id="101"/>
    <w:bookmarkStart w:name="z602" w:id="102"/>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p>
    <w:bookmarkEnd w:id="102"/>
    <w:bookmarkStart w:name="z603" w:id="103"/>
    <w:p>
      <w:pPr>
        <w:spacing w:after="0"/>
        <w:ind w:left="0"/>
        <w:jc w:val="both"/>
      </w:pPr>
      <w:r>
        <w:rPr>
          <w:rFonts w:ascii="Times New Roman"/>
          <w:b w:val="false"/>
          <w:i w:val="false"/>
          <w:color w:val="000000"/>
          <w:sz w:val="28"/>
        </w:rPr>
        <w:t>
      Полученное значение показателя степени риска по нарушениям включается в расчет показателя степени риска по субъективным критериям.</w:t>
      </w:r>
    </w:p>
    <w:bookmarkEnd w:id="103"/>
    <w:bookmarkStart w:name="z604" w:id="104"/>
    <w:p>
      <w:pPr>
        <w:spacing w:after="0"/>
        <w:ind w:left="0"/>
        <w:jc w:val="both"/>
      </w:pPr>
      <w:r>
        <w:rPr>
          <w:rFonts w:ascii="Times New Roman"/>
          <w:b w:val="false"/>
          <w:i w:val="false"/>
          <w:color w:val="000000"/>
          <w:sz w:val="28"/>
        </w:rPr>
        <w:t xml:space="preserve">
      19. Расчет показателя степени риска по субъективным критериям, определенным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настоящих Критериев, производится по шкале от 0 до 100 баллов и осуществляется по следующей формуле:</w:t>
      </w:r>
    </w:p>
    <w:bookmarkEnd w:id="104"/>
    <w:bookmarkStart w:name="z605"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2184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84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6" w:id="106"/>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показатель субъективного критерия,</w:t>
      </w:r>
    </w:p>
    <w:bookmarkEnd w:id="106"/>
    <w:bookmarkStart w:name="z607" w:id="107"/>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удельный вес показателя субъективного критерия xi,</w:t>
      </w:r>
    </w:p>
    <w:bookmarkEnd w:id="107"/>
    <w:bookmarkStart w:name="z608" w:id="108"/>
    <w:p>
      <w:pPr>
        <w:spacing w:after="0"/>
        <w:ind w:left="0"/>
        <w:jc w:val="both"/>
      </w:pPr>
      <w:r>
        <w:rPr>
          <w:rFonts w:ascii="Times New Roman"/>
          <w:b w:val="false"/>
          <w:i w:val="false"/>
          <w:color w:val="000000"/>
          <w:sz w:val="28"/>
        </w:rPr>
        <w:t>
      n – количество показателей.</w:t>
      </w:r>
    </w:p>
    <w:bookmarkEnd w:id="108"/>
    <w:bookmarkStart w:name="z609" w:id="109"/>
    <w:p>
      <w:pPr>
        <w:spacing w:after="0"/>
        <w:ind w:left="0"/>
        <w:jc w:val="both"/>
      </w:pPr>
      <w:r>
        <w:rPr>
          <w:rFonts w:ascii="Times New Roman"/>
          <w:b w:val="false"/>
          <w:i w:val="false"/>
          <w:color w:val="000000"/>
          <w:sz w:val="28"/>
        </w:rPr>
        <w:t xml:space="preserve">
      Полученное значение показателя степени риска по субъективным критериям, определенным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настоящих Критериев, включается в расчет показателя степени риска по субъективным критериям.</w:t>
      </w:r>
    </w:p>
    <w:bookmarkEnd w:id="109"/>
    <w:bookmarkStart w:name="z610" w:id="110"/>
    <w:p>
      <w:pPr>
        <w:spacing w:after="0"/>
        <w:ind w:left="0"/>
        <w:jc w:val="both"/>
      </w:pPr>
      <w:r>
        <w:rPr>
          <w:rFonts w:ascii="Times New Roman"/>
          <w:b w:val="false"/>
          <w:i w:val="false"/>
          <w:color w:val="000000"/>
          <w:sz w:val="28"/>
        </w:rPr>
        <w:t>
      20. Рассчитанные по субъектам (объектам) значения по показателю R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110"/>
    <w:bookmarkStart w:name="z611"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2" w:id="112"/>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w:t>
      </w:r>
    </w:p>
    <w:bookmarkEnd w:id="112"/>
    <w:bookmarkStart w:name="z613" w:id="113"/>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p>
    <w:bookmarkEnd w:id="113"/>
    <w:bookmarkStart w:name="z614" w:id="114"/>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bookmarkEnd w:id="114"/>
    <w:bookmarkStart w:name="z615" w:id="115"/>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 рассчитанный в соответствии с </w:t>
      </w:r>
      <w:r>
        <w:rPr>
          <w:rFonts w:ascii="Times New Roman"/>
          <w:b w:val="false"/>
          <w:i w:val="false"/>
          <w:color w:val="000000"/>
          <w:sz w:val="28"/>
        </w:rPr>
        <w:t>пунктом 17</w:t>
      </w:r>
      <w:r>
        <w:rPr>
          <w:rFonts w:ascii="Times New Roman"/>
          <w:b w:val="false"/>
          <w:i w:val="false"/>
          <w:color w:val="000000"/>
          <w:sz w:val="28"/>
        </w:rPr>
        <w:t xml:space="preserve"> настоящих Критериев.</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 аудиторской</w:t>
            </w:r>
            <w:r>
              <w:br/>
            </w:r>
            <w:r>
              <w:rPr>
                <w:rFonts w:ascii="Times New Roman"/>
                <w:b w:val="false"/>
                <w:i w:val="false"/>
                <w:color w:val="000000"/>
                <w:sz w:val="20"/>
              </w:rPr>
              <w:t>деятельности</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 предусматривается в редакции совместного приказа Министра финансов РК от 29.12.2025 </w:t>
      </w:r>
      <w:r>
        <w:rPr>
          <w:rFonts w:ascii="Times New Roman"/>
          <w:b w:val="false"/>
          <w:i w:val="false"/>
          <w:color w:val="ff0000"/>
          <w:sz w:val="28"/>
        </w:rPr>
        <w:t>№ 815</w:t>
      </w:r>
      <w:r>
        <w:rPr>
          <w:rFonts w:ascii="Times New Roman"/>
          <w:b w:val="false"/>
          <w:i w:val="false"/>
          <w:color w:val="ff0000"/>
          <w:sz w:val="28"/>
        </w:rPr>
        <w:t xml:space="preserve"> и Заместителя Премьер-Министра – Министра национальной экономики РК от 29.12.2025 № 137 (вводится в действие по истечении шестидесяти календарных дней после дня его первого официального опубликования).</w:t>
      </w:r>
    </w:p>
    <w:bookmarkStart w:name="z617" w:id="116"/>
    <w:p>
      <w:pPr>
        <w:spacing w:after="0"/>
        <w:ind w:left="0"/>
        <w:jc w:val="left"/>
      </w:pPr>
      <w:r>
        <w:rPr>
          <w:rFonts w:ascii="Times New Roman"/>
          <w:b/>
          <w:i w:val="false"/>
          <w:color w:val="000000"/>
        </w:rPr>
        <w:t xml:space="preserve"> Степени нарушений требований нормативных правовых актов для проведения профилактического контроля</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при несоблюдении, которых устанавливается степень тяжести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аудиторским организациям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или своевременное предоставление в уполномоченный орган отчета о соответствии квалификационным требованиям к аудиторской деятельности (ежегодный отчет до 1 марта года, следующего за отчетным периодом)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или своевременное предоставление в уполномоченный орган отчета по основным показателям деятельности аудиторских организаций (ежеквартальный отчет до 15 числа месяца, следующего за отчетным периодом)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или своевременное предоставление в уполномоченный орган информации по страхованию гражданско-правовой ответственности (в течение 15 (пятнадцати) рабочих дней с даты заключения договора обязательного страхования гражданско-правовой ответственности)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профилю своей деятельности:</w:t>
            </w:r>
          </w:p>
          <w:p>
            <w:pPr>
              <w:spacing w:after="20"/>
              <w:ind w:left="20"/>
              <w:jc w:val="both"/>
            </w:pPr>
            <w:r>
              <w:rPr>
                <w:rFonts w:ascii="Times New Roman"/>
                <w:b w:val="false"/>
                <w:i w:val="false"/>
                <w:color w:val="000000"/>
                <w:sz w:val="20"/>
              </w:rPr>
              <w:t>сопутствующие и другие услуги по стандартам аудита;</w:t>
            </w:r>
          </w:p>
          <w:p>
            <w:pPr>
              <w:spacing w:after="20"/>
              <w:ind w:left="20"/>
              <w:jc w:val="both"/>
            </w:pPr>
            <w:r>
              <w:rPr>
                <w:rFonts w:ascii="Times New Roman"/>
                <w:b w:val="false"/>
                <w:i w:val="false"/>
                <w:color w:val="000000"/>
                <w:sz w:val="20"/>
              </w:rPr>
              <w:t>восстановление и ведение бухгалтерского учета, составление финансовой отчетности;</w:t>
            </w:r>
          </w:p>
          <w:p>
            <w:pPr>
              <w:spacing w:after="20"/>
              <w:ind w:left="20"/>
              <w:jc w:val="both"/>
            </w:pPr>
            <w:r>
              <w:rPr>
                <w:rFonts w:ascii="Times New Roman"/>
                <w:b w:val="false"/>
                <w:i w:val="false"/>
                <w:color w:val="000000"/>
                <w:sz w:val="20"/>
              </w:rPr>
              <w:t>внутренний аудит;</w:t>
            </w:r>
          </w:p>
          <w:p>
            <w:pPr>
              <w:spacing w:after="20"/>
              <w:ind w:left="20"/>
              <w:jc w:val="both"/>
            </w:pPr>
            <w:r>
              <w:rPr>
                <w:rFonts w:ascii="Times New Roman"/>
                <w:b w:val="false"/>
                <w:i w:val="false"/>
                <w:color w:val="000000"/>
                <w:sz w:val="20"/>
              </w:rPr>
              <w:t>консультирование по вопросам применения законодательства по налогам и другим обязательным платежам в бюджет и ведения налогового учета;</w:t>
            </w:r>
          </w:p>
          <w:p>
            <w:pPr>
              <w:spacing w:after="20"/>
              <w:ind w:left="20"/>
              <w:jc w:val="both"/>
            </w:pPr>
            <w:r>
              <w:rPr>
                <w:rFonts w:ascii="Times New Roman"/>
                <w:b w:val="false"/>
                <w:i w:val="false"/>
                <w:color w:val="000000"/>
                <w:sz w:val="20"/>
              </w:rPr>
              <w:t>проведение аудита по налогам и составление аудиторского заключения по налогам;</w:t>
            </w:r>
          </w:p>
          <w:p>
            <w:pPr>
              <w:spacing w:after="20"/>
              <w:ind w:left="20"/>
              <w:jc w:val="both"/>
            </w:pPr>
            <w:r>
              <w:rPr>
                <w:rFonts w:ascii="Times New Roman"/>
                <w:b w:val="false"/>
                <w:i w:val="false"/>
                <w:color w:val="000000"/>
                <w:sz w:val="20"/>
              </w:rPr>
              <w:t>проведение аудита специального назначения субъектов квазигосударственного сектора;</w:t>
            </w:r>
          </w:p>
          <w:p>
            <w:pPr>
              <w:spacing w:after="20"/>
              <w:ind w:left="20"/>
              <w:jc w:val="both"/>
            </w:pPr>
            <w:r>
              <w:rPr>
                <w:rFonts w:ascii="Times New Roman"/>
                <w:b w:val="false"/>
                <w:i w:val="false"/>
                <w:color w:val="000000"/>
                <w:sz w:val="20"/>
              </w:rPr>
              <w:t>проведение аудита сведений о расходах недропользователя; проведение аудита иной информации и составление аудиторского заключения по аудиту иной информации;</w:t>
            </w:r>
          </w:p>
          <w:p>
            <w:pPr>
              <w:spacing w:after="20"/>
              <w:ind w:left="20"/>
              <w:jc w:val="both"/>
            </w:pPr>
            <w:r>
              <w:rPr>
                <w:rFonts w:ascii="Times New Roman"/>
                <w:b w:val="false"/>
                <w:i w:val="false"/>
                <w:color w:val="000000"/>
                <w:sz w:val="20"/>
              </w:rPr>
              <w:t>формирование первичных статистических данных;</w:t>
            </w:r>
          </w:p>
          <w:p>
            <w:pPr>
              <w:spacing w:after="20"/>
              <w:ind w:left="20"/>
              <w:jc w:val="both"/>
            </w:pPr>
            <w:r>
              <w:rPr>
                <w:rFonts w:ascii="Times New Roman"/>
                <w:b w:val="false"/>
                <w:i w:val="false"/>
                <w:color w:val="000000"/>
                <w:sz w:val="20"/>
              </w:rPr>
              <w:t>анализ финансово-хозяйственной деятельности и финансовое планирование, экономическое, финансовое и управленческое консультирование;</w:t>
            </w:r>
          </w:p>
          <w:p>
            <w:pPr>
              <w:spacing w:after="20"/>
              <w:ind w:left="20"/>
              <w:jc w:val="both"/>
            </w:pPr>
            <w:r>
              <w:rPr>
                <w:rFonts w:ascii="Times New Roman"/>
                <w:b w:val="false"/>
                <w:i w:val="false"/>
                <w:color w:val="000000"/>
                <w:sz w:val="20"/>
              </w:rPr>
              <w:t>консультирование по вопросам ведения бухгалтерского учета и составления финансовой отчетности;</w:t>
            </w:r>
          </w:p>
          <w:p>
            <w:pPr>
              <w:spacing w:after="20"/>
              <w:ind w:left="20"/>
              <w:jc w:val="both"/>
            </w:pPr>
            <w:r>
              <w:rPr>
                <w:rFonts w:ascii="Times New Roman"/>
                <w:b w:val="false"/>
                <w:i w:val="false"/>
                <w:color w:val="000000"/>
                <w:sz w:val="20"/>
              </w:rPr>
              <w:t>обучение по ведению бухгалтерского учета и составлению финансовой отчетности, налогообложению, аудиту и анализу финансово-хозяйственной деятельности и финансового планирования;</w:t>
            </w:r>
          </w:p>
          <w:p>
            <w:pPr>
              <w:spacing w:after="20"/>
              <w:ind w:left="20"/>
              <w:jc w:val="both"/>
            </w:pPr>
            <w:r>
              <w:rPr>
                <w:rFonts w:ascii="Times New Roman"/>
                <w:b w:val="false"/>
                <w:i w:val="false"/>
                <w:color w:val="000000"/>
                <w:sz w:val="20"/>
              </w:rPr>
              <w:t>рекомендации по автоматизации ведения бухгалтерского учета и составлению финансовой отчетности, обучение автоматизированному ведению бухгалтерского учета и составлению финансовой отчетности;</w:t>
            </w:r>
          </w:p>
          <w:p>
            <w:pPr>
              <w:spacing w:after="20"/>
              <w:ind w:left="20"/>
              <w:jc w:val="both"/>
            </w:pPr>
            <w:r>
              <w:rPr>
                <w:rFonts w:ascii="Times New Roman"/>
                <w:b w:val="false"/>
                <w:i w:val="false"/>
                <w:color w:val="000000"/>
                <w:sz w:val="20"/>
              </w:rPr>
              <w:t>разработку методических пособий и рекомендаций по ведению бухгалтерского учета и составлению финансовой отчетности, аудиту, анализу финансово-хозяйственной деятельности и финансового планирования, оказанию сопутствующих услуг по стандартам аудита, а также их распространение;</w:t>
            </w:r>
          </w:p>
          <w:p>
            <w:pPr>
              <w:spacing w:after="20"/>
              <w:ind w:left="20"/>
              <w:jc w:val="both"/>
            </w:pPr>
            <w:r>
              <w:rPr>
                <w:rFonts w:ascii="Times New Roman"/>
                <w:b w:val="false"/>
                <w:i w:val="false"/>
                <w:color w:val="000000"/>
                <w:sz w:val="20"/>
              </w:rPr>
              <w:t>юридические услуги, связанные с аудиторской деятельностью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вступление аудиторской организации в профессиональную аудиторскую организацию в течение одного месяца со дня получения лицензии на осуществление аудиторской деятельности, или добровольного выхода или исключения, а также при лишении аккредитации профессиональной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страхования гражданско-правовой ответственности по обязательствам, возникающим вследствие причинения имущественного вреда при осуществлении аудита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проведение аудита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договоре на проведение аудита и (или) предоставление сопутствующих и других услуг по стандартам аудита предусматриваются: предмет договора, сроки, размер и условия оплаты, права, обязанности и ответственность сторон, конфиденциальность полученной информации, а также членство в профессиональной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аудируемому субъекту информации о выявленных нарушениях в ведении бухгалтерского учета, финансовой отчетности и прочей информации, связанной с финансовой отчетностью (в том числе в государственных учреждениях)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аудиторской организацией ограничений права на проведение аудита, аудита по налогам, аудита специального назначения субъектов квазигосударственного сектора, аудита иной информации организациям, с которыми за последние три года был заключен договор страхования гражданско-правовой ответственности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аудиторской организацией запрета на проведение аудита, аудита по налогам, аудита специального назначения субъектов квазигосударственного сектора, аудита иной информации организаций, которым за последние три года были предоставлены услуги по восстановлению и ведению бухгалтерского учета, составлению финансовой отчетности и (или) по внутреннему аудиту (в части бухгалтерского учета и (или) финансовой отчетности)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в части фиксирования сведений, хранения сведений и документов, защиты документов; своевременное предоставление или непредоставление информации об операциях с деньгами и (или) имуществом, подлежащих финансовому мониторингу; принятие мер по надлежащей проверке клиентов (их представителей) и бенефициарных собственников; принятие мер по замораживанию операций с деньгами и (или) иным имуществом и (или) предоставления информации о мерах по замораживанию операций с деньгами и (или) иным имуществом; исполнение обязанностей по отказу клиенту в установлении деловых отношений и проведении операций с деньгами и (или) иным имуществом и (или) предоставлению информации об отказах в установлении деловых отношений и проведении операций с деньгами и (или) иным имуществом; исполнение программы подготовки и обучения в сфере противодействия легализации (отмыванию) доходов, полученных преступным путем, и финансированию терроризма, утвержденной правилами внутреннего контроля; соблюдение требований по не извещению своих клиентов и иных лиц о предоставлении в уполномоченный орган по финансовому мониторингу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достоверности аудиторского отчета аудиторами и аудиторскими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стандартов аудита, Кодекса этики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обязательного аудита аудиторской организацией, соответствующей минимальным требованиям:</w:t>
            </w:r>
          </w:p>
          <w:p>
            <w:pPr>
              <w:spacing w:after="20"/>
              <w:ind w:left="20"/>
              <w:jc w:val="both"/>
            </w:pPr>
            <w:r>
              <w:rPr>
                <w:rFonts w:ascii="Times New Roman"/>
                <w:b w:val="false"/>
                <w:i w:val="false"/>
                <w:color w:val="000000"/>
                <w:sz w:val="20"/>
              </w:rPr>
              <w:t>1) по организациям:</w:t>
            </w:r>
          </w:p>
          <w:p>
            <w:pPr>
              <w:spacing w:after="20"/>
              <w:ind w:left="20"/>
              <w:jc w:val="both"/>
            </w:pPr>
            <w:r>
              <w:rPr>
                <w:rFonts w:ascii="Times New Roman"/>
                <w:b w:val="false"/>
                <w:i w:val="false"/>
                <w:color w:val="000000"/>
                <w:sz w:val="20"/>
              </w:rPr>
              <w:t>наличие заключения профессионального совета и (или) заключения аккредитованной профессиональной аудиторской организации, членом которой является аудиторская организация, подтверждающего соблюдение аудиторской организацией требований международных стандартов аудита и Кодекса этики по результатам проведенного внешнего контроля качества;</w:t>
            </w:r>
          </w:p>
          <w:p>
            <w:pPr>
              <w:spacing w:after="20"/>
              <w:ind w:left="20"/>
              <w:jc w:val="both"/>
            </w:pPr>
            <w:r>
              <w:rPr>
                <w:rFonts w:ascii="Times New Roman"/>
                <w:b w:val="false"/>
                <w:i w:val="false"/>
                <w:color w:val="000000"/>
                <w:sz w:val="20"/>
              </w:rPr>
              <w:t>отсутствие, в течение последнего 1 (одного) года до даты заключения договора на оказание аудиторских услуг административных взысканий;</w:t>
            </w:r>
          </w:p>
          <w:p>
            <w:pPr>
              <w:spacing w:after="20"/>
              <w:ind w:left="20"/>
              <w:jc w:val="both"/>
            </w:pPr>
            <w:r>
              <w:rPr>
                <w:rFonts w:ascii="Times New Roman"/>
                <w:b w:val="false"/>
                <w:i w:val="false"/>
                <w:color w:val="000000"/>
                <w:sz w:val="20"/>
              </w:rPr>
              <w:t>наличие договора страхования гражданско-правовой ответственности аудиторской организации;</w:t>
            </w:r>
          </w:p>
          <w:p>
            <w:pPr>
              <w:spacing w:after="20"/>
              <w:ind w:left="20"/>
              <w:jc w:val="both"/>
            </w:pPr>
            <w:r>
              <w:rPr>
                <w:rFonts w:ascii="Times New Roman"/>
                <w:b w:val="false"/>
                <w:i w:val="false"/>
                <w:color w:val="000000"/>
                <w:sz w:val="20"/>
              </w:rPr>
              <w:t>подлежит ротации в случае осуществления аудита одной организации, в том числе финансовой организации непрерывно на протяжении 7 (семи) лет.</w:t>
            </w:r>
          </w:p>
          <w:p>
            <w:pPr>
              <w:spacing w:after="20"/>
              <w:ind w:left="20"/>
              <w:jc w:val="both"/>
            </w:pPr>
            <w:r>
              <w:rPr>
                <w:rFonts w:ascii="Times New Roman"/>
                <w:b w:val="false"/>
                <w:i w:val="false"/>
                <w:color w:val="000000"/>
                <w:sz w:val="20"/>
              </w:rPr>
              <w:t>2) по национальным управляющим холдингам, национальным холдингам, национальным компаниям, недропользователям;</w:t>
            </w:r>
          </w:p>
          <w:p>
            <w:pPr>
              <w:spacing w:after="20"/>
              <w:ind w:left="20"/>
              <w:jc w:val="both"/>
            </w:pPr>
            <w:r>
              <w:rPr>
                <w:rFonts w:ascii="Times New Roman"/>
                <w:b w:val="false"/>
                <w:i w:val="false"/>
                <w:color w:val="000000"/>
                <w:sz w:val="20"/>
              </w:rPr>
              <w:t>срок занятия аудиторской деятельностью руководителя аудиторской организации не менее 5 (пяти) лет;</w:t>
            </w:r>
          </w:p>
          <w:p>
            <w:pPr>
              <w:spacing w:after="20"/>
              <w:ind w:left="20"/>
              <w:jc w:val="both"/>
            </w:pPr>
            <w:r>
              <w:rPr>
                <w:rFonts w:ascii="Times New Roman"/>
                <w:b w:val="false"/>
                <w:i w:val="false"/>
                <w:color w:val="000000"/>
                <w:sz w:val="20"/>
              </w:rPr>
              <w:t>наличие аудиторских отчетов по не менее 10 (десяти) аудируемым субъектам на соответствие международным стандартам финансовой отчетности;</w:t>
            </w:r>
          </w:p>
          <w:p>
            <w:pPr>
              <w:spacing w:after="20"/>
              <w:ind w:left="20"/>
              <w:jc w:val="both"/>
            </w:pPr>
            <w:r>
              <w:rPr>
                <w:rFonts w:ascii="Times New Roman"/>
                <w:b w:val="false"/>
                <w:i w:val="false"/>
                <w:color w:val="000000"/>
                <w:sz w:val="20"/>
              </w:rPr>
              <w:t>наличие не менее 2 (двух) специалистов, имеющих сертификат профессионального бухгалтера.</w:t>
            </w:r>
          </w:p>
          <w:p>
            <w:pPr>
              <w:spacing w:after="20"/>
              <w:ind w:left="20"/>
              <w:jc w:val="both"/>
            </w:pPr>
            <w:r>
              <w:rPr>
                <w:rFonts w:ascii="Times New Roman"/>
                <w:b w:val="false"/>
                <w:i w:val="false"/>
                <w:color w:val="000000"/>
                <w:sz w:val="20"/>
              </w:rPr>
              <w:t>3) по финансовым организациям, акционерному обществу "Банк Развития Казахстана" аудиторская организация имеет в составе:</w:t>
            </w:r>
          </w:p>
          <w:p>
            <w:pPr>
              <w:spacing w:after="20"/>
              <w:ind w:left="20"/>
              <w:jc w:val="both"/>
            </w:pPr>
            <w:r>
              <w:rPr>
                <w:rFonts w:ascii="Times New Roman"/>
                <w:b w:val="false"/>
                <w:i w:val="false"/>
                <w:color w:val="000000"/>
                <w:sz w:val="20"/>
              </w:rPr>
              <w:t>специалиста, который является руководителем группы, имеющего одну из полных квалификаций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в области бухгалтерского учета и аудита либо квалификационное свидетельство "аудитор" с опытом работы в области аудита соответствующих организаций в течение 3 (трех) лет из последних пяти;</w:t>
            </w:r>
          </w:p>
          <w:p>
            <w:pPr>
              <w:spacing w:after="20"/>
              <w:ind w:left="20"/>
              <w:jc w:val="both"/>
            </w:pPr>
            <w:r>
              <w:rPr>
                <w:rFonts w:ascii="Times New Roman"/>
                <w:b w:val="false"/>
                <w:i w:val="false"/>
                <w:color w:val="000000"/>
                <w:sz w:val="20"/>
              </w:rPr>
              <w:t>не менее 2 (двух) специалистов, имеющих одну из полных квалификаций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в области бухгалтерского учета и аудита либо квалификацию "аудитор" с опытом работы в области аудита соответствующих организаций в течение 2 (двух) лет из последних пяти;</w:t>
            </w:r>
          </w:p>
          <w:p>
            <w:pPr>
              <w:spacing w:after="20"/>
              <w:ind w:left="20"/>
              <w:jc w:val="both"/>
            </w:pPr>
            <w:r>
              <w:rPr>
                <w:rFonts w:ascii="Times New Roman"/>
                <w:b w:val="false"/>
                <w:i w:val="false"/>
                <w:color w:val="000000"/>
                <w:sz w:val="20"/>
              </w:rPr>
              <w:t>отсутствие непогашенной задолженности перед аудируемой финансовой организацией во время проведения аудита и (или) предоставления других услуг;</w:t>
            </w:r>
          </w:p>
          <w:p>
            <w:pPr>
              <w:spacing w:after="20"/>
              <w:ind w:left="20"/>
              <w:jc w:val="both"/>
            </w:pPr>
            <w:r>
              <w:rPr>
                <w:rFonts w:ascii="Times New Roman"/>
                <w:b w:val="false"/>
                <w:i w:val="false"/>
                <w:color w:val="000000"/>
                <w:sz w:val="20"/>
              </w:rPr>
              <w:t xml:space="preserve">аудитора и (или) руководителя группы, не имеющих задолженность перед аудируемой финансовой организацией по договору банковского займа, и (или) по договору микрокредита во время проведения аудита и (или) предоставления других услуг.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орган государственных доходов по месту нахождения аудируемого субъекта аудиторского заключения по налогам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выявленных недостатков в срок, определяемый решением комитета по контролю качества и (или) профессиональной аудиторской организации, в случае получения оценки меньше чем "4" в течение 2 (двух)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профессиональным аудиторским организациям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достоверное предоставление отчетности в уполномоченный орган;</w:t>
            </w:r>
          </w:p>
          <w:p>
            <w:pPr>
              <w:spacing w:after="20"/>
              <w:ind w:left="20"/>
              <w:jc w:val="both"/>
            </w:pPr>
            <w:r>
              <w:rPr>
                <w:rFonts w:ascii="Times New Roman"/>
                <w:b w:val="false"/>
                <w:i w:val="false"/>
                <w:color w:val="000000"/>
                <w:sz w:val="20"/>
              </w:rPr>
              <w:t>Полугодовой отчет о деятельности профессиональной аудиторской организации (до 15 числа месяца, следующего за отчетным периодом)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достоверное предоставление отчетности в уполномоченный орган;</w:t>
            </w:r>
          </w:p>
          <w:p>
            <w:pPr>
              <w:spacing w:after="20"/>
              <w:ind w:left="20"/>
              <w:jc w:val="both"/>
            </w:pPr>
            <w:r>
              <w:rPr>
                <w:rFonts w:ascii="Times New Roman"/>
                <w:b w:val="false"/>
                <w:i w:val="false"/>
                <w:color w:val="000000"/>
                <w:sz w:val="20"/>
              </w:rPr>
              <w:t>Ежегодный отчет о проведении профессиональной аудиторской организацией курсов повышения квалификации аудиторов и выдачи сертификатов (до 1 марта года, следующего за отчетным периодом)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достоверное предоставление отчетности в уполномоченный орган;</w:t>
            </w:r>
          </w:p>
          <w:p>
            <w:pPr>
              <w:spacing w:after="20"/>
              <w:ind w:left="20"/>
              <w:jc w:val="both"/>
            </w:pPr>
            <w:r>
              <w:rPr>
                <w:rFonts w:ascii="Times New Roman"/>
                <w:b w:val="false"/>
                <w:i w:val="false"/>
                <w:color w:val="000000"/>
                <w:sz w:val="20"/>
              </w:rPr>
              <w:t>Ежеквартальный отчет о соответствии минимальным требованиям аудиторских организаций, которые проводят обязательный аудит; (до 15 числа месяца, следующего за отчетным периодом)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достоверное предоставление отчетности в уполномоченный орган;</w:t>
            </w:r>
          </w:p>
          <w:p>
            <w:pPr>
              <w:spacing w:after="20"/>
              <w:ind w:left="20"/>
              <w:jc w:val="both"/>
            </w:pPr>
            <w:r>
              <w:rPr>
                <w:rFonts w:ascii="Times New Roman"/>
                <w:b w:val="false"/>
                <w:i w:val="false"/>
                <w:color w:val="000000"/>
                <w:sz w:val="20"/>
              </w:rPr>
              <w:t>Ежеквартальный отчет о проведенном внешнем контроле качества аудиторских организаций, не являющихся объектами внешнего контроля качества профессионального совета по аудиторской деятельности, профессиональной аудиторской организацией (до 15 числа месяца, следующего за отчетным периодом)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внешнего контроля качества профессиональной организацией в отношении аудиторских организаций, которые не являются объектами внешнего контроля качества профессионального совета один раз в 3 (три)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только аудиторов и аудиторских организаций, являющихся учредителями и участниками профессиональной организации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в течение 3 (трех) месяцев причин, по которым вынесено предупредительное письмо уполномоченного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об изменениях уполномоченному органу в случае принятия (выбытия, исключения) членов, а также изменения персонального состава рабочего органа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внешнего контроля качества только аудиторами, осуществляющими свою деятельность в качестве аудитора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оснований внепланового внешнего контроля качества:</w:t>
            </w:r>
          </w:p>
          <w:p>
            <w:pPr>
              <w:spacing w:after="20"/>
              <w:ind w:left="20"/>
              <w:jc w:val="both"/>
            </w:pPr>
            <w:r>
              <w:rPr>
                <w:rFonts w:ascii="Times New Roman"/>
                <w:b w:val="false"/>
                <w:i w:val="false"/>
                <w:color w:val="000000"/>
                <w:sz w:val="20"/>
              </w:rPr>
              <w:t>в случае получения профессиональным советом или профессиональной организацией обращения на действия (бездействие) аудиторов, аудиторских организаций и профессиональных организаций;</w:t>
            </w:r>
          </w:p>
          <w:p>
            <w:pPr>
              <w:spacing w:after="20"/>
              <w:ind w:left="20"/>
              <w:jc w:val="both"/>
            </w:pPr>
            <w:r>
              <w:rPr>
                <w:rFonts w:ascii="Times New Roman"/>
                <w:b w:val="false"/>
                <w:i w:val="false"/>
                <w:color w:val="000000"/>
                <w:sz w:val="20"/>
              </w:rPr>
              <w:t>в случае несогласия с результатами работы аудиторов и (или) аудиторских организаций;</w:t>
            </w:r>
          </w:p>
          <w:p>
            <w:pPr>
              <w:spacing w:after="20"/>
              <w:ind w:left="20"/>
              <w:jc w:val="both"/>
            </w:pPr>
            <w:r>
              <w:rPr>
                <w:rFonts w:ascii="Times New Roman"/>
                <w:b w:val="false"/>
                <w:i w:val="false"/>
                <w:color w:val="000000"/>
                <w:sz w:val="20"/>
              </w:rPr>
              <w:t>по инициативе объектов внешнего контроля качества профессионального совета;</w:t>
            </w:r>
          </w:p>
          <w:p>
            <w:pPr>
              <w:spacing w:after="20"/>
              <w:ind w:left="20"/>
              <w:jc w:val="both"/>
            </w:pPr>
            <w:r>
              <w:rPr>
                <w:rFonts w:ascii="Times New Roman"/>
                <w:b w:val="false"/>
                <w:i w:val="false"/>
                <w:color w:val="000000"/>
                <w:sz w:val="20"/>
              </w:rPr>
              <w:t>по инициативе уполномоченного органа согласно поступившим обращениям, связанным с деятельностью аудиторов, аудиторских организаций и профессиональных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10 (десяти) процентов от средней численности, но не менее 5 (пяти) аудиторских организаций – членов профессиональной организации за 12 (двенадцать) календарных месяцев фактов лишения лицензии на осуществление аудиторской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проведения планового внешнего контроля качества каждой аудиторской организацией по утвержденному внутреннему плану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 проверки внешнего контроля качества аудиторами не превышают 10 (десять)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определения оценки по результатам внешнего контроля качества не превышают более 2 (двух)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проведения внешнего контроля качества:</w:t>
            </w:r>
          </w:p>
          <w:p>
            <w:pPr>
              <w:spacing w:after="20"/>
              <w:ind w:left="20"/>
              <w:jc w:val="both"/>
            </w:pPr>
            <w:r>
              <w:rPr>
                <w:rFonts w:ascii="Times New Roman"/>
                <w:b w:val="false"/>
                <w:i w:val="false"/>
                <w:color w:val="000000"/>
                <w:sz w:val="20"/>
              </w:rPr>
              <w:t>вопросы по организации процедуры внешнего контроля качества;</w:t>
            </w:r>
          </w:p>
          <w:p>
            <w:pPr>
              <w:spacing w:after="20"/>
              <w:ind w:left="20"/>
              <w:jc w:val="both"/>
            </w:pPr>
            <w:r>
              <w:rPr>
                <w:rFonts w:ascii="Times New Roman"/>
                <w:b w:val="false"/>
                <w:i w:val="false"/>
                <w:color w:val="000000"/>
                <w:sz w:val="20"/>
              </w:rPr>
              <w:t>основания отвода (самоотвода) контролера либо других лиц, участвующих в процедуре внешнего контроля качества;</w:t>
            </w:r>
          </w:p>
          <w:p>
            <w:pPr>
              <w:spacing w:after="20"/>
              <w:ind w:left="20"/>
              <w:jc w:val="both"/>
            </w:pPr>
            <w:r>
              <w:rPr>
                <w:rFonts w:ascii="Times New Roman"/>
                <w:b w:val="false"/>
                <w:i w:val="false"/>
                <w:color w:val="000000"/>
                <w:sz w:val="20"/>
              </w:rPr>
              <w:t>программа и этапы проведения внешнего контроля качества;</w:t>
            </w:r>
          </w:p>
          <w:p>
            <w:pPr>
              <w:spacing w:after="20"/>
              <w:ind w:left="20"/>
              <w:jc w:val="both"/>
            </w:pPr>
            <w:r>
              <w:rPr>
                <w:rFonts w:ascii="Times New Roman"/>
                <w:b w:val="false"/>
                <w:i w:val="false"/>
                <w:color w:val="000000"/>
                <w:sz w:val="20"/>
              </w:rPr>
              <w:t>перечень документов аудиторской организации, подлежащих внешнему контролю качества, который включает учредительные и правоустанавливающие документы, лицензии, квалификационные свидетельства аудиторов, документы по повышению квалификации аудиторов, документы по кадровому составу, внутрифирменные документы по контролю качества аудита, рабочую документацию по выполненным аудиторским заданиям;</w:t>
            </w:r>
          </w:p>
          <w:p>
            <w:pPr>
              <w:spacing w:after="20"/>
              <w:ind w:left="20"/>
              <w:jc w:val="both"/>
            </w:pPr>
            <w:r>
              <w:rPr>
                <w:rFonts w:ascii="Times New Roman"/>
                <w:b w:val="false"/>
                <w:i w:val="false"/>
                <w:color w:val="000000"/>
                <w:sz w:val="20"/>
              </w:rPr>
              <w:t>критерии отбора проектов по аудиту, подвергающихся внешнему контролю качества, а также отбора контролеров, исключающие конфликт интересов (обеспечение независимости);</w:t>
            </w:r>
          </w:p>
          <w:p>
            <w:pPr>
              <w:spacing w:after="20"/>
              <w:ind w:left="20"/>
              <w:jc w:val="both"/>
            </w:pPr>
            <w:r>
              <w:rPr>
                <w:rFonts w:ascii="Times New Roman"/>
                <w:b w:val="false"/>
                <w:i w:val="false"/>
                <w:color w:val="000000"/>
                <w:sz w:val="20"/>
              </w:rPr>
              <w:t>достаточности ресурсов, направленных аудиторской организацией на выполнение договора оказания аудиторских услуг;</w:t>
            </w:r>
          </w:p>
          <w:p>
            <w:pPr>
              <w:spacing w:after="20"/>
              <w:ind w:left="20"/>
              <w:jc w:val="both"/>
            </w:pPr>
            <w:r>
              <w:rPr>
                <w:rFonts w:ascii="Times New Roman"/>
                <w:b w:val="false"/>
                <w:i w:val="false"/>
                <w:color w:val="000000"/>
                <w:sz w:val="20"/>
              </w:rPr>
              <w:t>вопросы проверки системы внутреннего контроля качества аудиторской организации;</w:t>
            </w:r>
          </w:p>
          <w:p>
            <w:pPr>
              <w:spacing w:after="20"/>
              <w:ind w:left="20"/>
              <w:jc w:val="both"/>
            </w:pPr>
            <w:r>
              <w:rPr>
                <w:rFonts w:ascii="Times New Roman"/>
                <w:b w:val="false"/>
                <w:i w:val="false"/>
                <w:color w:val="000000"/>
                <w:sz w:val="20"/>
              </w:rPr>
              <w:t>наличие правил внутреннего контроля и следующих программ их осуществления: программы организации внутреннего контроля в целях противодействия легализации (отмыванию) доходов, полученных преступным путем, и финансированию терроризма;</w:t>
            </w:r>
          </w:p>
          <w:p>
            <w:pPr>
              <w:spacing w:after="20"/>
              <w:ind w:left="20"/>
              <w:jc w:val="both"/>
            </w:pPr>
            <w:r>
              <w:rPr>
                <w:rFonts w:ascii="Times New Roman"/>
                <w:b w:val="false"/>
                <w:i w:val="false"/>
                <w:color w:val="000000"/>
                <w:sz w:val="20"/>
              </w:rPr>
              <w:t>программы управления риском легализации (отмывания) доходов, полученных преступным путем, и финансирования терроризма, учитывающую риски клиентов и риски использования услуг в преступных целях, включая риск использования технологических достижений;</w:t>
            </w:r>
          </w:p>
          <w:p>
            <w:pPr>
              <w:spacing w:after="20"/>
              <w:ind w:left="20"/>
              <w:jc w:val="both"/>
            </w:pPr>
            <w:r>
              <w:rPr>
                <w:rFonts w:ascii="Times New Roman"/>
                <w:b w:val="false"/>
                <w:i w:val="false"/>
                <w:color w:val="000000"/>
                <w:sz w:val="20"/>
              </w:rPr>
              <w:t>программы идентификации клиентов;</w:t>
            </w:r>
          </w:p>
          <w:p>
            <w:pPr>
              <w:spacing w:after="20"/>
              <w:ind w:left="20"/>
              <w:jc w:val="both"/>
            </w:pPr>
            <w:r>
              <w:rPr>
                <w:rFonts w:ascii="Times New Roman"/>
                <w:b w:val="false"/>
                <w:i w:val="false"/>
                <w:color w:val="000000"/>
                <w:sz w:val="20"/>
              </w:rPr>
              <w:t>программы мониторинга и изучения операций клиентов, включая изучение сложных, необычно крупных и других необычных операций клиентов;</w:t>
            </w:r>
          </w:p>
          <w:p>
            <w:pPr>
              <w:spacing w:after="20"/>
              <w:ind w:left="20"/>
              <w:jc w:val="both"/>
            </w:pPr>
            <w:r>
              <w:rPr>
                <w:rFonts w:ascii="Times New Roman"/>
                <w:b w:val="false"/>
                <w:i w:val="false"/>
                <w:color w:val="000000"/>
                <w:sz w:val="20"/>
              </w:rPr>
              <w:t>программы подготовки и обучения сотрудников субъектов финансового мониторинга по вопросам противодействия легализации (отмыванию) доходов, полученных преступным путем, и финансированию терроризма;</w:t>
            </w:r>
          </w:p>
          <w:p>
            <w:pPr>
              <w:spacing w:after="20"/>
              <w:ind w:left="20"/>
              <w:jc w:val="both"/>
            </w:pPr>
            <w:r>
              <w:rPr>
                <w:rFonts w:ascii="Times New Roman"/>
                <w:b w:val="false"/>
                <w:i w:val="false"/>
                <w:color w:val="000000"/>
                <w:sz w:val="20"/>
              </w:rPr>
              <w:t>
вопросы внешнего контроля качества отдельных аудиторских заданий;</w:t>
            </w:r>
          </w:p>
          <w:p>
            <w:pPr>
              <w:spacing w:after="20"/>
              <w:ind w:left="20"/>
              <w:jc w:val="both"/>
            </w:pPr>
            <w:r>
              <w:rPr>
                <w:rFonts w:ascii="Times New Roman"/>
                <w:b w:val="false"/>
                <w:i w:val="false"/>
                <w:color w:val="000000"/>
                <w:sz w:val="20"/>
              </w:rPr>
              <w:t>меры по обеспечению защиты информации, доступ к которой получен комитетом по контролю качества и профессиональной организацией в ходе проведения внешнего контроля качества;</w:t>
            </w:r>
          </w:p>
          <w:p>
            <w:pPr>
              <w:spacing w:after="20"/>
              <w:ind w:left="20"/>
              <w:jc w:val="both"/>
            </w:pPr>
            <w:r>
              <w:rPr>
                <w:rFonts w:ascii="Times New Roman"/>
                <w:b w:val="false"/>
                <w:i w:val="false"/>
                <w:color w:val="000000"/>
                <w:sz w:val="20"/>
              </w:rPr>
              <w:t>отчетность контролеров и оформление результатов прохождения аудиторской организацией внешнего контроля качества;</w:t>
            </w:r>
          </w:p>
          <w:p>
            <w:pPr>
              <w:spacing w:after="20"/>
              <w:ind w:left="20"/>
              <w:jc w:val="both"/>
            </w:pPr>
            <w:r>
              <w:rPr>
                <w:rFonts w:ascii="Times New Roman"/>
                <w:b w:val="false"/>
                <w:i w:val="false"/>
                <w:color w:val="000000"/>
                <w:sz w:val="20"/>
              </w:rPr>
              <w:t>меры по реализации аудиторской организацией результатов прохождения внешнего контроля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 аудиторской</w:t>
            </w:r>
            <w:r>
              <w:br/>
            </w:r>
            <w:r>
              <w:rPr>
                <w:rFonts w:ascii="Times New Roman"/>
                <w:b w:val="false"/>
                <w:i w:val="false"/>
                <w:color w:val="000000"/>
                <w:sz w:val="20"/>
              </w:rPr>
              <w:t>деятельности</w:t>
            </w:r>
          </w:p>
        </w:tc>
      </w:tr>
    </w:tbl>
    <w:bookmarkStart w:name="z619" w:id="117"/>
    <w:p>
      <w:pPr>
        <w:spacing w:after="0"/>
        <w:ind w:left="0"/>
        <w:jc w:val="left"/>
      </w:pPr>
      <w:r>
        <w:rPr>
          <w:rFonts w:ascii="Times New Roman"/>
          <w:b/>
          <w:i w:val="false"/>
          <w:color w:val="000000"/>
        </w:rPr>
        <w:t xml:space="preserve"> Степени нарушений требований нормативных правовых актов для проведения проверки на соответствие требованиям</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при несоблюдении, которых устанавливается степень тяжести нарушения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аудиторским организациям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аудиторов в составе аудиторской организации не менее 2 (двух) человек (в том числе руководителя и (или) учредителей (участников)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аудитором своей деятельности в качестве аудитора только в составе одной аудиторской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уставном капитале стопроцентной доли, принадлежащей аудитору (аудиторам) и (или) иностранной (иностранным) аудиторским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сведений в отношении руководителя аудиторской организации о лишении лицензии в соответствии с законодательными актами Республики Казахстан ранее возглавляемой им аудиторской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руководителя аудиторской организации, а также у аудиторов квалификационного свидетельства о присвоении квалификации "аудитор", выданного Квалификационной комиссией по аттестации кандидатов в аудиторы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руководителя филиала квалификационного свидетельства "аудитор" при создании филиала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субъектом среднего или крупного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Аудиторская организация, осуществляющая аудиторскую деятельность на территории Республики Казахстан, не является участником другой аудиторской организации - резидента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профессиональным аудиторским организациям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Учредителями и участниками профессиональных организаций являются только аудиторы и аудиторские организации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Аудиторы и аудиторские организации выступают членами только одной профессиональной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управления профессиональных организаций формируется из числа аудиторов – членов профессиональной организации в количестве не менее трех аудиторов с опытом работы в области аудита в течение трех лет из последних пяти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профессиональной организации рабочих органов:</w:t>
            </w:r>
          </w:p>
          <w:p>
            <w:pPr>
              <w:spacing w:after="20"/>
              <w:ind w:left="20"/>
              <w:jc w:val="both"/>
            </w:pPr>
            <w:r>
              <w:rPr>
                <w:rFonts w:ascii="Times New Roman"/>
                <w:b w:val="false"/>
                <w:i w:val="false"/>
                <w:color w:val="000000"/>
                <w:sz w:val="20"/>
              </w:rPr>
              <w:t>по контролю качества;</w:t>
            </w:r>
          </w:p>
          <w:p>
            <w:pPr>
              <w:spacing w:after="20"/>
              <w:ind w:left="20"/>
              <w:jc w:val="both"/>
            </w:pPr>
            <w:r>
              <w:rPr>
                <w:rFonts w:ascii="Times New Roman"/>
                <w:b w:val="false"/>
                <w:i w:val="false"/>
                <w:color w:val="000000"/>
                <w:sz w:val="20"/>
              </w:rPr>
              <w:t>по международным стандартам аудита и финансовой отчетности;</w:t>
            </w:r>
          </w:p>
          <w:p>
            <w:pPr>
              <w:spacing w:after="20"/>
              <w:ind w:left="20"/>
              <w:jc w:val="both"/>
            </w:pPr>
            <w:r>
              <w:rPr>
                <w:rFonts w:ascii="Times New Roman"/>
                <w:b w:val="false"/>
                <w:i w:val="false"/>
                <w:color w:val="000000"/>
                <w:sz w:val="20"/>
              </w:rPr>
              <w:t xml:space="preserve"> по повышению квалификации аудиторов;</w:t>
            </w:r>
          </w:p>
          <w:p>
            <w:pPr>
              <w:spacing w:after="20"/>
              <w:ind w:left="20"/>
              <w:jc w:val="both"/>
            </w:pPr>
            <w:r>
              <w:rPr>
                <w:rFonts w:ascii="Times New Roman"/>
                <w:b w:val="false"/>
                <w:i w:val="false"/>
                <w:color w:val="000000"/>
                <w:sz w:val="20"/>
              </w:rPr>
              <w:t xml:space="preserve"> по вопросам этики;</w:t>
            </w:r>
          </w:p>
          <w:p>
            <w:pPr>
              <w:spacing w:after="20"/>
              <w:ind w:left="20"/>
              <w:jc w:val="both"/>
            </w:pPr>
            <w:r>
              <w:rPr>
                <w:rFonts w:ascii="Times New Roman"/>
                <w:b w:val="false"/>
                <w:i w:val="false"/>
                <w:color w:val="000000"/>
                <w:sz w:val="20"/>
              </w:rPr>
              <w:t xml:space="preserve"> по рассмотрению споров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 аудиторской</w:t>
            </w:r>
            <w:r>
              <w:br/>
            </w:r>
            <w:r>
              <w:rPr>
                <w:rFonts w:ascii="Times New Roman"/>
                <w:b w:val="false"/>
                <w:i w:val="false"/>
                <w:color w:val="000000"/>
                <w:sz w:val="20"/>
              </w:rPr>
              <w:t>деятельности</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3 предусматривается в редакции совместного приказа Министра финансов РК от 29.12.2025 </w:t>
      </w:r>
      <w:r>
        <w:rPr>
          <w:rFonts w:ascii="Times New Roman"/>
          <w:b w:val="false"/>
          <w:i w:val="false"/>
          <w:color w:val="ff0000"/>
          <w:sz w:val="28"/>
        </w:rPr>
        <w:t>№ 815</w:t>
      </w:r>
      <w:r>
        <w:rPr>
          <w:rFonts w:ascii="Times New Roman"/>
          <w:b w:val="false"/>
          <w:i w:val="false"/>
          <w:color w:val="ff0000"/>
          <w:sz w:val="28"/>
        </w:rPr>
        <w:t xml:space="preserve"> и Заместителя Премьер-Министра – Министра национальной экономики РК от 29.12.2025 № 137 (вводится в действие по истечении шестидесяти календарных дней после дня его первого официального опубликования).</w:t>
      </w:r>
    </w:p>
    <w:bookmarkStart w:name="z621" w:id="118"/>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области аудиторской деятельности в соответствии со статьей 138 Предпринимательского кодекса Республики Казахстан в отношении аудиторских организаций</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Непредоставление или несвоевременное предоставление в уполномоченный орган отчета о соответствии квалификационным требованиям к аудиторской деятельности (ежегодный отчет до 1 марта года, следующего за отчетным периодом)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Непредоставление или несвоевременное предоставление в уполномоченный орган отчета по основным показателям деятельности аудиторских организаций (ежеквартальный отчет до 15 числа месяца, следующего за отчетным периодом)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Непредоставление или несвоевременное предоставление в уполномоченный орган информации по страхованию гражданско-правовой ответственности (в течение 15 (пятнадцати) рабочих дней с даты заключения договора обязательного страхования гражданско-правовой ответственности)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документов, подтверждающих вступление аудиторской организации в профессиональную аудиторскую организацию в течение одного месяца со дня получения лицензии на осуществление аудиторской деятельности, или добровольного выхода или исключения, а также при лишении аккредитации профессиональной 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договора страхования гражданско-правовой ответственности по обязательствам, возникающим вследствие причинения имущественного вреда при осуществлении аудита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аудиторской организацией ограничений права на проведение аудита, аудита по налогам, аудита специального назначения субъектов квазигосударственного сектора, аудита иной информации организациям, с которыми за последние три года был заключен договор страхования гражданско-правовой ответственности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 на профилактический контроль с посещением субъекта (объекта)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аудиторов в составе аудиторской организации не менее 2 (двух) человек (в том числе руководителя и (или) учредителей (участников)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 на проверку на соответствии требованиям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осуществление аудитором своей деятельности в качестве аудитора только в составе одной аудиторской 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 на проверку на соответствии требованиям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уставном капитале стопроцентной доли, принадлежащей аудитору (аудиторам) и (или) иностранной (иностранным) аудиторским организациям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руководителя аудиторской организации, а также у аудиторов квалификационного свидетельства о присвоении квалификации "аудитор", выданного Квалификационной комиссией по аттестации кандидатов в аудиторы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мониторинга отчетности и сведений, представляемых субъектом (объектом) контроля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руководителя филиала квалификационного свидетельства "аудитор" при создании филиала на территории Республики Казахстан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является субъектом среднего или крупного предпринимательства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 на проверку на соответствии требованиям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Аудиторская организация, осуществляющая аудиторскую деятельность на территории Республики Казахстан, не является участником другой аудиторской организации - резидента Республики Казахстан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 аудиторской</w:t>
            </w:r>
            <w:r>
              <w:br/>
            </w:r>
            <w:r>
              <w:rPr>
                <w:rFonts w:ascii="Times New Roman"/>
                <w:b w:val="false"/>
                <w:i w:val="false"/>
                <w:color w:val="000000"/>
                <w:sz w:val="20"/>
              </w:rPr>
              <w:t>деятельности</w:t>
            </w:r>
          </w:p>
        </w:tc>
      </w:tr>
    </w:tbl>
    <w:bookmarkStart w:name="z623" w:id="119"/>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области аудиторской деятельности в соответствии со статьей 138 Предпринимательского кодекса Республики Казахстан в отношении профессиональных аудиторских организаций</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 недостоверное предоставление отчетности в уполномоченный орган;</w:t>
            </w:r>
          </w:p>
          <w:p>
            <w:pPr>
              <w:spacing w:after="20"/>
              <w:ind w:left="20"/>
              <w:jc w:val="both"/>
            </w:pPr>
            <w:r>
              <w:rPr>
                <w:rFonts w:ascii="Times New Roman"/>
                <w:b w:val="false"/>
                <w:i w:val="false"/>
                <w:color w:val="000000"/>
                <w:sz w:val="20"/>
              </w:rPr>
              <w:t>Полугодовой отчет о деятельности профессиональной аудиторской организации (до 15 числа месяца, следующего за отчетным периодом)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 недостоверное предоставление отчетности в уполномоченный орган;</w:t>
            </w:r>
          </w:p>
          <w:p>
            <w:pPr>
              <w:spacing w:after="20"/>
              <w:ind w:left="20"/>
              <w:jc w:val="both"/>
            </w:pPr>
            <w:r>
              <w:rPr>
                <w:rFonts w:ascii="Times New Roman"/>
                <w:b w:val="false"/>
                <w:i w:val="false"/>
                <w:color w:val="000000"/>
                <w:sz w:val="20"/>
              </w:rPr>
              <w:t>Ежегодный отчет о проведении профессиональной аудиторской организацией курсов повышения квалификации аудиторов и выдачи сертификатов (до 1 марта года, следующего за отчетным периодом)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 недостоверное предоставление отчетности в уполномоченный орган;</w:t>
            </w:r>
          </w:p>
          <w:p>
            <w:pPr>
              <w:spacing w:after="20"/>
              <w:ind w:left="20"/>
              <w:jc w:val="both"/>
            </w:pPr>
            <w:r>
              <w:rPr>
                <w:rFonts w:ascii="Times New Roman"/>
                <w:b w:val="false"/>
                <w:i w:val="false"/>
                <w:color w:val="000000"/>
                <w:sz w:val="20"/>
              </w:rPr>
              <w:t>Ежеквартальный отчет о соответствии минимальным требованиям аудиторских организаций, которые проводят обязательный аудит; (до 15 числа месяца, следующего за отчетным периодом)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 недостоверное предоставление отчетности в уполномоченный орган;</w:t>
            </w:r>
          </w:p>
          <w:p>
            <w:pPr>
              <w:spacing w:after="20"/>
              <w:ind w:left="20"/>
              <w:jc w:val="both"/>
            </w:pPr>
            <w:r>
              <w:rPr>
                <w:rFonts w:ascii="Times New Roman"/>
                <w:b w:val="false"/>
                <w:i w:val="false"/>
                <w:color w:val="000000"/>
                <w:sz w:val="20"/>
              </w:rPr>
              <w:t>Ежеквартальный отчет о проведенном внешнем контроле качества аудиторских организаций, не являющихся объектами внешнего контроля качества профессионального совета по аудиторской деятельности, профессиональной аудиторской организацией (до 15 числа месяца, следующего за отчетным периодом)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Неосуществление внешнего контроля качества профессиональной организацией в отношении аудиторских организаций, которые не являются объектами внешнего контроля качества профессионального совета один раз в 3 (три) года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 на профилактический контроль с посещением субъекта (объекта)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только аудиторов и аудиторских организаций, являющихся учредителями и участниками профессиональной 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 на профилактический контроль с посещением субъекта (объекта)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Учредителями и участниками профессиональных организаций не являются только аудиторы и аудиторские 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 на проверку на соответствии требованиям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Аудиторы и аудиторские организации не выступают членами только одной профессиональной 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июля 2019 года № 724</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июля 2019 года № 65</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2 предусматривается в редакции совместного приказа Министра финансов РК от 29.12.2025 </w:t>
      </w:r>
      <w:r>
        <w:rPr>
          <w:rFonts w:ascii="Times New Roman"/>
          <w:b w:val="false"/>
          <w:i w:val="false"/>
          <w:color w:val="ff0000"/>
          <w:sz w:val="28"/>
        </w:rPr>
        <w:t>№ 815</w:t>
      </w:r>
      <w:r>
        <w:rPr>
          <w:rFonts w:ascii="Times New Roman"/>
          <w:b w:val="false"/>
          <w:i w:val="false"/>
          <w:color w:val="ff0000"/>
          <w:sz w:val="28"/>
        </w:rPr>
        <w:t xml:space="preserve"> и Заместителя Премьер-Министра – Министра национальной экономики РК от 29.12.2025 № 137 (вводится в действие по истечении шестидесяти календарных дней после дня его первого официального опубликования).</w:t>
      </w:r>
    </w:p>
    <w:bookmarkStart w:name="z624" w:id="120"/>
    <w:p>
      <w:pPr>
        <w:spacing w:after="0"/>
        <w:ind w:left="0"/>
        <w:jc w:val="left"/>
      </w:pPr>
      <w:r>
        <w:rPr>
          <w:rFonts w:ascii="Times New Roman"/>
          <w:b/>
          <w:i w:val="false"/>
          <w:color w:val="000000"/>
        </w:rPr>
        <w:t xml:space="preserve"> Проверочный лист</w:t>
      </w:r>
    </w:p>
    <w:bookmarkEnd w:id="120"/>
    <w:p>
      <w:pPr>
        <w:spacing w:after="0"/>
        <w:ind w:left="0"/>
        <w:jc w:val="both"/>
      </w:pPr>
      <w:r>
        <w:rPr>
          <w:rFonts w:ascii="Times New Roman"/>
          <w:b w:val="false"/>
          <w:i w:val="false"/>
          <w:color w:val="ff0000"/>
          <w:sz w:val="28"/>
        </w:rPr>
        <w:t xml:space="preserve">
      Сноска. Приложение 2 -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Заместителя Премьер-Министра - Министра финансов РК от 05.06.2023 № 606 и Министра национальной экономики РК от 05.06.2023 № 99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25" w:id="121"/>
      <w:r>
        <w:rPr>
          <w:rFonts w:ascii="Times New Roman"/>
          <w:b w:val="false"/>
          <w:i w:val="false"/>
          <w:color w:val="000000"/>
          <w:sz w:val="28"/>
        </w:rPr>
        <w:t xml:space="preserve">
      в области аудиторской деятельности в соответствии со </w:t>
      </w:r>
      <w:r>
        <w:rPr>
          <w:rFonts w:ascii="Times New Roman"/>
          <w:b w:val="false"/>
          <w:i w:val="false"/>
          <w:color w:val="000000"/>
          <w:sz w:val="28"/>
        </w:rPr>
        <w:t>статьей 138</w:t>
      </w:r>
    </w:p>
    <w:bookmarkEnd w:id="121"/>
    <w:p>
      <w:pPr>
        <w:spacing w:after="0"/>
        <w:ind w:left="0"/>
        <w:jc w:val="both"/>
      </w:pPr>
      <w:r>
        <w:rPr>
          <w:rFonts w:ascii="Times New Roman"/>
          <w:b w:val="false"/>
          <w:i w:val="false"/>
          <w:color w:val="000000"/>
          <w:sz w:val="28"/>
        </w:rPr>
        <w:t>Предпринимательского кодекса Республики Казахстан в отношении аудиторских</w:t>
      </w:r>
    </w:p>
    <w:p>
      <w:pPr>
        <w:spacing w:after="0"/>
        <w:ind w:left="0"/>
        <w:jc w:val="both"/>
      </w:pPr>
      <w:r>
        <w:rPr>
          <w:rFonts w:ascii="Times New Roman"/>
          <w:b w:val="false"/>
          <w:i w:val="false"/>
          <w:color w:val="000000"/>
          <w:sz w:val="28"/>
        </w:rPr>
        <w:t>организаций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 /профилактического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 № _______дата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или своевременное предоставление в уполномоченный орган отчета о соответствии квалификационным требованиям к аудиторской деятельности (ежегодный отчет до 1 марта года, следующего за отчетным периодом)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или своевременное предоставление в уполномоченный орган отчета по основным показателям деятельности аудиторских организаций (ежеквартальный отчет до 15 числа месяца, следующего за отчетным периодом)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или своевременное предоставление в уполномоченный орган информации по страхованию гражданско-правовой ответственности (в течение 15 (пятнадцати) рабочих дней с даты заключения договора обязательного страхования гражданско-правовой ответственности)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профилю своей деятельности:</w:t>
            </w:r>
          </w:p>
          <w:p>
            <w:pPr>
              <w:spacing w:after="20"/>
              <w:ind w:left="20"/>
              <w:jc w:val="both"/>
            </w:pPr>
            <w:r>
              <w:rPr>
                <w:rFonts w:ascii="Times New Roman"/>
                <w:b w:val="false"/>
                <w:i w:val="false"/>
                <w:color w:val="000000"/>
                <w:sz w:val="20"/>
              </w:rPr>
              <w:t>сопутствующие и другие услуги по стандартам аудита;</w:t>
            </w:r>
          </w:p>
          <w:p>
            <w:pPr>
              <w:spacing w:after="20"/>
              <w:ind w:left="20"/>
              <w:jc w:val="both"/>
            </w:pPr>
            <w:r>
              <w:rPr>
                <w:rFonts w:ascii="Times New Roman"/>
                <w:b w:val="false"/>
                <w:i w:val="false"/>
                <w:color w:val="000000"/>
                <w:sz w:val="20"/>
              </w:rPr>
              <w:t>восстановление и ведение бухгалтерского учета, составление финансовой отчетности;</w:t>
            </w:r>
          </w:p>
          <w:p>
            <w:pPr>
              <w:spacing w:after="20"/>
              <w:ind w:left="20"/>
              <w:jc w:val="both"/>
            </w:pPr>
            <w:r>
              <w:rPr>
                <w:rFonts w:ascii="Times New Roman"/>
                <w:b w:val="false"/>
                <w:i w:val="false"/>
                <w:color w:val="000000"/>
                <w:sz w:val="20"/>
              </w:rPr>
              <w:t>внутренний аудит;</w:t>
            </w:r>
          </w:p>
          <w:p>
            <w:pPr>
              <w:spacing w:after="20"/>
              <w:ind w:left="20"/>
              <w:jc w:val="both"/>
            </w:pPr>
            <w:r>
              <w:rPr>
                <w:rFonts w:ascii="Times New Roman"/>
                <w:b w:val="false"/>
                <w:i w:val="false"/>
                <w:color w:val="000000"/>
                <w:sz w:val="20"/>
              </w:rPr>
              <w:t>консультирование по вопросам применения законодательства по налогам и другим обязательным платежам в бюджет и ведения налогового учета;</w:t>
            </w:r>
          </w:p>
          <w:p>
            <w:pPr>
              <w:spacing w:after="20"/>
              <w:ind w:left="20"/>
              <w:jc w:val="both"/>
            </w:pPr>
            <w:r>
              <w:rPr>
                <w:rFonts w:ascii="Times New Roman"/>
                <w:b w:val="false"/>
                <w:i w:val="false"/>
                <w:color w:val="000000"/>
                <w:sz w:val="20"/>
              </w:rPr>
              <w:t>проведение аудита по налогам и составление аудиторского заключения по налогам;</w:t>
            </w:r>
          </w:p>
          <w:p>
            <w:pPr>
              <w:spacing w:after="20"/>
              <w:ind w:left="20"/>
              <w:jc w:val="both"/>
            </w:pPr>
            <w:r>
              <w:rPr>
                <w:rFonts w:ascii="Times New Roman"/>
                <w:b w:val="false"/>
                <w:i w:val="false"/>
                <w:color w:val="000000"/>
                <w:sz w:val="20"/>
              </w:rPr>
              <w:t>проведение аудита специального назначения субъектов квазигосударственного сектора;</w:t>
            </w:r>
          </w:p>
          <w:p>
            <w:pPr>
              <w:spacing w:after="20"/>
              <w:ind w:left="20"/>
              <w:jc w:val="both"/>
            </w:pPr>
            <w:r>
              <w:rPr>
                <w:rFonts w:ascii="Times New Roman"/>
                <w:b w:val="false"/>
                <w:i w:val="false"/>
                <w:color w:val="000000"/>
                <w:sz w:val="20"/>
              </w:rPr>
              <w:t>проведение аудита сведений о расходах недропользователя; проведение аудита иной информации и составление аудиторского заключения по аудиту иной информации;</w:t>
            </w:r>
          </w:p>
          <w:p>
            <w:pPr>
              <w:spacing w:after="20"/>
              <w:ind w:left="20"/>
              <w:jc w:val="both"/>
            </w:pPr>
            <w:r>
              <w:rPr>
                <w:rFonts w:ascii="Times New Roman"/>
                <w:b w:val="false"/>
                <w:i w:val="false"/>
                <w:color w:val="000000"/>
                <w:sz w:val="20"/>
              </w:rPr>
              <w:t>формирование первичных статистических данных;</w:t>
            </w:r>
          </w:p>
          <w:p>
            <w:pPr>
              <w:spacing w:after="20"/>
              <w:ind w:left="20"/>
              <w:jc w:val="both"/>
            </w:pPr>
            <w:r>
              <w:rPr>
                <w:rFonts w:ascii="Times New Roman"/>
                <w:b w:val="false"/>
                <w:i w:val="false"/>
                <w:color w:val="000000"/>
                <w:sz w:val="20"/>
              </w:rPr>
              <w:t>анализ финансово-хозяйственной деятельности и финансовое планирование, экономическое, финансовое и управленческое консультирование;</w:t>
            </w:r>
          </w:p>
          <w:p>
            <w:pPr>
              <w:spacing w:after="20"/>
              <w:ind w:left="20"/>
              <w:jc w:val="both"/>
            </w:pPr>
            <w:r>
              <w:rPr>
                <w:rFonts w:ascii="Times New Roman"/>
                <w:b w:val="false"/>
                <w:i w:val="false"/>
                <w:color w:val="000000"/>
                <w:sz w:val="20"/>
              </w:rPr>
              <w:t>консультирование по вопросам ведения бухгалтерского учета и составления финансовой отчетности;</w:t>
            </w:r>
          </w:p>
          <w:p>
            <w:pPr>
              <w:spacing w:after="20"/>
              <w:ind w:left="20"/>
              <w:jc w:val="both"/>
            </w:pPr>
            <w:r>
              <w:rPr>
                <w:rFonts w:ascii="Times New Roman"/>
                <w:b w:val="false"/>
                <w:i w:val="false"/>
                <w:color w:val="000000"/>
                <w:sz w:val="20"/>
              </w:rPr>
              <w:t>обучение по ведению бухгалтерского учета и составлению финансовой отчетности, налогообложению, аудиту и анализу финансово-хозяйственной деятельности и финансового планирования;</w:t>
            </w:r>
          </w:p>
          <w:p>
            <w:pPr>
              <w:spacing w:after="20"/>
              <w:ind w:left="20"/>
              <w:jc w:val="both"/>
            </w:pPr>
            <w:r>
              <w:rPr>
                <w:rFonts w:ascii="Times New Roman"/>
                <w:b w:val="false"/>
                <w:i w:val="false"/>
                <w:color w:val="000000"/>
                <w:sz w:val="20"/>
              </w:rPr>
              <w:t>рекомендации по автоматизации ведения бухгалтерского учета и составлению финансовой отчетности, обучение автоматизированному ведению бухгалтерского учета и составлению финансовой отчетности;</w:t>
            </w:r>
          </w:p>
          <w:p>
            <w:pPr>
              <w:spacing w:after="20"/>
              <w:ind w:left="20"/>
              <w:jc w:val="both"/>
            </w:pPr>
            <w:r>
              <w:rPr>
                <w:rFonts w:ascii="Times New Roman"/>
                <w:b w:val="false"/>
                <w:i w:val="false"/>
                <w:color w:val="000000"/>
                <w:sz w:val="20"/>
              </w:rPr>
              <w:t>разработку методических пособий и рекомендаций по ведению бухгалтерского учета и составлению финансовой отчетности, аудиту, анализу финансово-хозяйственной деятельности и финансового планирования, оказанию сопутствующих услуг по стандартам аудита, а также их распространение;</w:t>
            </w:r>
          </w:p>
          <w:p>
            <w:pPr>
              <w:spacing w:after="20"/>
              <w:ind w:left="20"/>
              <w:jc w:val="both"/>
            </w:pPr>
            <w:r>
              <w:rPr>
                <w:rFonts w:ascii="Times New Roman"/>
                <w:b w:val="false"/>
                <w:i w:val="false"/>
                <w:color w:val="000000"/>
                <w:sz w:val="20"/>
              </w:rPr>
              <w:t>юридические услуги, связанные с аудиторской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вступление аудиторской организации в профессиональную аудиторскую организацию в течение одного месяца со дня получения лицензии на осуществление аудиторской деятельности, или добровольного выхода или исключения, а также при лишении аккредитации профессиональной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страхования гражданско-правовой ответственности по обязательствам, возникающим вследствие причинения имущественного вреда при осуществлении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договора на проведение аудита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договоре на проведение аудита и (или) предоставление сопутствующих и других услуг по стандартам аудита предусматриваются: предмет договора, сроки, размер и условия оплаты, права, обязанности и ответственность сторон, конфиденциальность полученной информации, а также членство в профессиональной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аудируемому субъекту информации о выявленных нарушениях в ведении бухгалтерского учета, финансовой отчетности и прочей информации, связанной с финансовой отчетностью (в том числе в государственных учреждениях)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аудиторской организацией ограничений права на проведение аудита, аудита по налогам, аудита специального назначения субъектов квазигосударственного сектора, аудита иной информации организациям, с которыми за последние три года был заключен договор страхования гражданско-правовой ответственности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аудиторской организацией запрета на проведение аудита, аудита по налогам, аудита специального назначения субъектов квазигосударственного сектора, аудита иной информации организаций, которым за последние три года были предоставлены услуги по восстановлению и ведению бухгалтерского учета, составлению финансовой отчетности и (или) по внутреннему аудиту (в части бухгалтерского учета и (или)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в части фиксирования сведений, хранения сведений и документов, защиты документов; своевременное предоставление или непредоставление информации об операциях с деньгами и (или) имуществом, подлежащих финансовому мониторингу; принятие мер по надлежащей проверке клиентов (их представителей) и бенефициарных собственников; принятие мер по замораживанию операций с деньгами и (или) иным имуществом и (или) предоставления информации о мерах по замораживанию операций с деньгами и (или) иным имуществом; исполнение обязанностей по отказу клиенту в установлении деловых отношений и проведении операций с деньгами и (или) иным имуществом и (или) предоставлению информации об отказах в установлении деловых отношений и проведении операций с деньгами и (или) иным имуществом; исполнение программы подготовки и обучения в сфере противодействия легализации (отмыванию) доходов, полученных преступным путем, и финансированию терроризма, утвержденной правилами внутреннего контроля; соблюдение требований по не извещению своих клиентов и иных лиц о предоставлении в уполномоченный орган по финансовому мониторингу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достоверности аудиторского отчета аудиторами и аудиторскими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стандартов аудита, Кодекса этики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обязательного аудита аудиторской организацией, соответствующей минимальным требованиям:</w:t>
            </w:r>
          </w:p>
          <w:p>
            <w:pPr>
              <w:spacing w:after="20"/>
              <w:ind w:left="20"/>
              <w:jc w:val="both"/>
            </w:pPr>
            <w:r>
              <w:rPr>
                <w:rFonts w:ascii="Times New Roman"/>
                <w:b w:val="false"/>
                <w:i w:val="false"/>
                <w:color w:val="000000"/>
                <w:sz w:val="20"/>
              </w:rPr>
              <w:t>1) по организациям:</w:t>
            </w:r>
          </w:p>
          <w:p>
            <w:pPr>
              <w:spacing w:after="20"/>
              <w:ind w:left="20"/>
              <w:jc w:val="both"/>
            </w:pPr>
            <w:r>
              <w:rPr>
                <w:rFonts w:ascii="Times New Roman"/>
                <w:b w:val="false"/>
                <w:i w:val="false"/>
                <w:color w:val="000000"/>
                <w:sz w:val="20"/>
              </w:rPr>
              <w:t>наличие заключения профессионального совета и (или) заключения аккредитованной профессиональной аудиторской организации, членом которой является аудиторская организация, подтверждающего соблюдение аудиторской организацией требований международных стандартов аудита и Кодекса этики по результатам проведенного внешнего контроля качества;</w:t>
            </w:r>
          </w:p>
          <w:p>
            <w:pPr>
              <w:spacing w:after="20"/>
              <w:ind w:left="20"/>
              <w:jc w:val="both"/>
            </w:pPr>
            <w:r>
              <w:rPr>
                <w:rFonts w:ascii="Times New Roman"/>
                <w:b w:val="false"/>
                <w:i w:val="false"/>
                <w:color w:val="000000"/>
                <w:sz w:val="20"/>
              </w:rPr>
              <w:t>отсутствие, в течение последнего 1 (одного) года до даты заключения договора на оказание аудиторских услуг административных взысканий;</w:t>
            </w:r>
          </w:p>
          <w:p>
            <w:pPr>
              <w:spacing w:after="20"/>
              <w:ind w:left="20"/>
              <w:jc w:val="both"/>
            </w:pPr>
            <w:r>
              <w:rPr>
                <w:rFonts w:ascii="Times New Roman"/>
                <w:b w:val="false"/>
                <w:i w:val="false"/>
                <w:color w:val="000000"/>
                <w:sz w:val="20"/>
              </w:rPr>
              <w:t>наличие договора страхования гражданско-правовой ответственности аудиторской организации;</w:t>
            </w:r>
          </w:p>
          <w:p>
            <w:pPr>
              <w:spacing w:after="20"/>
              <w:ind w:left="20"/>
              <w:jc w:val="both"/>
            </w:pPr>
            <w:r>
              <w:rPr>
                <w:rFonts w:ascii="Times New Roman"/>
                <w:b w:val="false"/>
                <w:i w:val="false"/>
                <w:color w:val="000000"/>
                <w:sz w:val="20"/>
              </w:rPr>
              <w:t>подлежит ротации в случае осуществления аудита одной организации, в том числе финансовой организации непрерывно на протяжении 7 (семи) лет;</w:t>
            </w:r>
          </w:p>
          <w:p>
            <w:pPr>
              <w:spacing w:after="20"/>
              <w:ind w:left="20"/>
              <w:jc w:val="both"/>
            </w:pPr>
            <w:r>
              <w:rPr>
                <w:rFonts w:ascii="Times New Roman"/>
                <w:b w:val="false"/>
                <w:i w:val="false"/>
                <w:color w:val="000000"/>
                <w:sz w:val="20"/>
              </w:rPr>
              <w:t>2) по национальным управляющим холдингам, национальным холдингам, национальным компаниям, недропользователям;</w:t>
            </w:r>
          </w:p>
          <w:p>
            <w:pPr>
              <w:spacing w:after="20"/>
              <w:ind w:left="20"/>
              <w:jc w:val="both"/>
            </w:pPr>
            <w:r>
              <w:rPr>
                <w:rFonts w:ascii="Times New Roman"/>
                <w:b w:val="false"/>
                <w:i w:val="false"/>
                <w:color w:val="000000"/>
                <w:sz w:val="20"/>
              </w:rPr>
              <w:t>срок занятия аудиторской деятельностью руководителя аудиторской организации не менее 5 (пяти) лет;</w:t>
            </w:r>
          </w:p>
          <w:p>
            <w:pPr>
              <w:spacing w:after="20"/>
              <w:ind w:left="20"/>
              <w:jc w:val="both"/>
            </w:pPr>
            <w:r>
              <w:rPr>
                <w:rFonts w:ascii="Times New Roman"/>
                <w:b w:val="false"/>
                <w:i w:val="false"/>
                <w:color w:val="000000"/>
                <w:sz w:val="20"/>
              </w:rPr>
              <w:t>наличие аудиторских отчетов по не менее 10 (десяти) аудируемым субъектам на соответствие международным стандартам финансовой отчетности;</w:t>
            </w:r>
          </w:p>
          <w:p>
            <w:pPr>
              <w:spacing w:after="20"/>
              <w:ind w:left="20"/>
              <w:jc w:val="both"/>
            </w:pPr>
            <w:r>
              <w:rPr>
                <w:rFonts w:ascii="Times New Roman"/>
                <w:b w:val="false"/>
                <w:i w:val="false"/>
                <w:color w:val="000000"/>
                <w:sz w:val="20"/>
              </w:rPr>
              <w:t>наличие не менее 2 (двух) специалистов, имеющих сертификат профессионального бухгалтера;</w:t>
            </w:r>
          </w:p>
          <w:p>
            <w:pPr>
              <w:spacing w:after="20"/>
              <w:ind w:left="20"/>
              <w:jc w:val="both"/>
            </w:pPr>
            <w:r>
              <w:rPr>
                <w:rFonts w:ascii="Times New Roman"/>
                <w:b w:val="false"/>
                <w:i w:val="false"/>
                <w:color w:val="000000"/>
                <w:sz w:val="20"/>
              </w:rPr>
              <w:t>3) по финансовым организациям, акционерному обществу "Банк Развития Казахстана" аудиторская организация имеет в составе:</w:t>
            </w:r>
          </w:p>
          <w:p>
            <w:pPr>
              <w:spacing w:after="20"/>
              <w:ind w:left="20"/>
              <w:jc w:val="both"/>
            </w:pPr>
            <w:r>
              <w:rPr>
                <w:rFonts w:ascii="Times New Roman"/>
                <w:b w:val="false"/>
                <w:i w:val="false"/>
                <w:color w:val="000000"/>
                <w:sz w:val="20"/>
              </w:rPr>
              <w:t>специалиста, который является руководителем группы, имеющего одну из полных квалификаций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в области бухгалтерского учета и аудита либо квалификационное свидетельство "аудитор" с опытом работы в области аудита соответствующих организаций в течение 3 (трех) лет из последних пяти;</w:t>
            </w:r>
          </w:p>
          <w:p>
            <w:pPr>
              <w:spacing w:after="20"/>
              <w:ind w:left="20"/>
              <w:jc w:val="both"/>
            </w:pPr>
            <w:r>
              <w:rPr>
                <w:rFonts w:ascii="Times New Roman"/>
                <w:b w:val="false"/>
                <w:i w:val="false"/>
                <w:color w:val="000000"/>
                <w:sz w:val="20"/>
              </w:rPr>
              <w:t>не менее 2 (двух) специалистов, имеющих одну из полных квалификаций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в области бухгалтерского учета и аудита либо квалификацию "аудитор" с опытом работы в области аудита соответствующих организаций в течение 2 (двух) лет из последних пяти;</w:t>
            </w:r>
          </w:p>
          <w:p>
            <w:pPr>
              <w:spacing w:after="20"/>
              <w:ind w:left="20"/>
              <w:jc w:val="both"/>
            </w:pPr>
            <w:r>
              <w:rPr>
                <w:rFonts w:ascii="Times New Roman"/>
                <w:b w:val="false"/>
                <w:i w:val="false"/>
                <w:color w:val="000000"/>
                <w:sz w:val="20"/>
              </w:rPr>
              <w:t>отсутствие непогашенной задолженности перед аудируемой финансовой организацией во время проведения аудита и (или) предоставления других услуг;</w:t>
            </w:r>
          </w:p>
          <w:p>
            <w:pPr>
              <w:spacing w:after="20"/>
              <w:ind w:left="20"/>
              <w:jc w:val="both"/>
            </w:pPr>
            <w:r>
              <w:rPr>
                <w:rFonts w:ascii="Times New Roman"/>
                <w:b w:val="false"/>
                <w:i w:val="false"/>
                <w:color w:val="000000"/>
                <w:sz w:val="20"/>
              </w:rPr>
              <w:t>аудитора и (или) руководителя группы, не имеющих задолженность перед аудируемой финансовой организацией по договору банковского займа, и (или) по договору микрокредита во время проведения аудита и (или) предоставления других услуг не менее 2 (двух) специалистов, имеющих одну из полных квалификаций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в области бухгалтерского учета и аудита либо квалификацию "аудитор" с опытом работы в области аудита соответствующих организаций в течении 2 (двух) лет из последних пяти;</w:t>
            </w:r>
          </w:p>
          <w:p>
            <w:pPr>
              <w:spacing w:after="20"/>
              <w:ind w:left="20"/>
              <w:jc w:val="both"/>
            </w:pPr>
            <w:r>
              <w:rPr>
                <w:rFonts w:ascii="Times New Roman"/>
                <w:b w:val="false"/>
                <w:i w:val="false"/>
                <w:color w:val="000000"/>
                <w:sz w:val="20"/>
              </w:rPr>
              <w:t>отсутствие непогашенной задолженности перед аудируемой финансовой организацией во время проведения аудита и (или) предоставления других услуг;</w:t>
            </w:r>
          </w:p>
          <w:p>
            <w:pPr>
              <w:spacing w:after="20"/>
              <w:ind w:left="20"/>
              <w:jc w:val="both"/>
            </w:pPr>
            <w:r>
              <w:rPr>
                <w:rFonts w:ascii="Times New Roman"/>
                <w:b w:val="false"/>
                <w:i w:val="false"/>
                <w:color w:val="000000"/>
                <w:sz w:val="20"/>
              </w:rPr>
              <w:t>аудитора и (или) руководителя группы, не имеющих задолженность перед аудируемой финансовой организацией по договору банковского займа, и (или) по договору микрокредита во время проведения аудита и (или) предоставления других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орган государственных доходов по месту нахождения аудируемого субъекта аудиторского заключения по налогам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выявленных недостатков в срок, определяемый решением комитета по контролю качества и (или) профессиональной аудиторской организации, в случае получения оценки меньше чем "4" в течение 2 (двух)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6" w:id="122"/>
      <w:r>
        <w:rPr>
          <w:rFonts w:ascii="Times New Roman"/>
          <w:b w:val="false"/>
          <w:i w:val="false"/>
          <w:color w:val="000000"/>
          <w:sz w:val="28"/>
        </w:rPr>
        <w:t>
      Должностное (ые) лицо (а)_____________________________________________</w:t>
      </w:r>
    </w:p>
    <w:bookmarkEnd w:id="12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подпись ____________________________________________________________________ 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июля 2019 года № 724</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июля 2019 года № 65</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3 предусматривается в редакции совместного приказа Министра финансов РК от 29.12.2025 </w:t>
      </w:r>
      <w:r>
        <w:rPr>
          <w:rFonts w:ascii="Times New Roman"/>
          <w:b w:val="false"/>
          <w:i w:val="false"/>
          <w:color w:val="ff0000"/>
          <w:sz w:val="28"/>
        </w:rPr>
        <w:t>№ 815</w:t>
      </w:r>
      <w:r>
        <w:rPr>
          <w:rFonts w:ascii="Times New Roman"/>
          <w:b w:val="false"/>
          <w:i w:val="false"/>
          <w:color w:val="ff0000"/>
          <w:sz w:val="28"/>
        </w:rPr>
        <w:t xml:space="preserve"> и Заместителя Премьер-Министра – Министра национальной экономики РК от 29.12.2025 № 137 (вводится в действие по истечении шестидесяти календарных дней после дня его первого официального опубликования).</w:t>
      </w:r>
    </w:p>
    <w:bookmarkStart w:name="z627" w:id="123"/>
    <w:p>
      <w:pPr>
        <w:spacing w:after="0"/>
        <w:ind w:left="0"/>
        <w:jc w:val="left"/>
      </w:pPr>
      <w:r>
        <w:rPr>
          <w:rFonts w:ascii="Times New Roman"/>
          <w:b/>
          <w:i w:val="false"/>
          <w:color w:val="000000"/>
        </w:rPr>
        <w:t xml:space="preserve"> Проверочный лист</w:t>
      </w:r>
    </w:p>
    <w:bookmarkEnd w:id="123"/>
    <w:p>
      <w:pPr>
        <w:spacing w:after="0"/>
        <w:ind w:left="0"/>
        <w:jc w:val="both"/>
      </w:pPr>
      <w:r>
        <w:rPr>
          <w:rFonts w:ascii="Times New Roman"/>
          <w:b w:val="false"/>
          <w:i w:val="false"/>
          <w:color w:val="ff0000"/>
          <w:sz w:val="28"/>
        </w:rPr>
        <w:t xml:space="preserve">
      Сноска. Приказ дополнен приложением 3 </w:t>
      </w:r>
      <w:r>
        <w:rPr>
          <w:rFonts w:ascii="Times New Roman"/>
          <w:b w:val="false"/>
          <w:i w:val="false"/>
          <w:color w:val="ff0000"/>
          <w:sz w:val="28"/>
        </w:rPr>
        <w:t>совместным приказ</w:t>
      </w:r>
      <w:r>
        <w:rPr>
          <w:rFonts w:ascii="Times New Roman"/>
          <w:b w:val="false"/>
          <w:i w:val="false"/>
          <w:color w:val="ff0000"/>
          <w:sz w:val="28"/>
        </w:rPr>
        <w:t xml:space="preserve">ом Министра финансов РК от 14.06.2021 № 568 и Министра национальной экономики РК от 14.06.2021 № 60 (вводится в действие по истечении десяти календарных дней после дня его первого официального опубликования);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Заместителя Премьер-Министра - Министра финансов РК от 05.06.2023 № 606 и Министра национальной экономики РК от 05.06.2023 № 99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28" w:id="124"/>
      <w:r>
        <w:rPr>
          <w:rFonts w:ascii="Times New Roman"/>
          <w:b w:val="false"/>
          <w:i w:val="false"/>
          <w:color w:val="000000"/>
          <w:sz w:val="28"/>
        </w:rPr>
        <w:t xml:space="preserve">
      в области аудиторской деятельности в соответствии со </w:t>
      </w:r>
      <w:r>
        <w:rPr>
          <w:rFonts w:ascii="Times New Roman"/>
          <w:b w:val="false"/>
          <w:i w:val="false"/>
          <w:color w:val="000000"/>
          <w:sz w:val="28"/>
        </w:rPr>
        <w:t>статьей 138</w:t>
      </w:r>
    </w:p>
    <w:bookmarkEnd w:id="124"/>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профессиональных аудиторских организаций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 /профилактического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достоверное предоставление отчетности в уполномоченный орган;</w:t>
            </w:r>
          </w:p>
          <w:p>
            <w:pPr>
              <w:spacing w:after="20"/>
              <w:ind w:left="20"/>
              <w:jc w:val="both"/>
            </w:pPr>
            <w:r>
              <w:rPr>
                <w:rFonts w:ascii="Times New Roman"/>
                <w:b w:val="false"/>
                <w:i w:val="false"/>
                <w:color w:val="000000"/>
                <w:sz w:val="20"/>
              </w:rPr>
              <w:t>Полугодовой отчет о деятельности профессиональной аудиторской организации (до 15 числа месяца, следующего за отчетным периодом)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достоверное предоставление отчетности в уполномоченный орган;</w:t>
            </w:r>
          </w:p>
          <w:p>
            <w:pPr>
              <w:spacing w:after="20"/>
              <w:ind w:left="20"/>
              <w:jc w:val="both"/>
            </w:pPr>
            <w:r>
              <w:rPr>
                <w:rFonts w:ascii="Times New Roman"/>
                <w:b w:val="false"/>
                <w:i w:val="false"/>
                <w:color w:val="000000"/>
                <w:sz w:val="20"/>
              </w:rPr>
              <w:t>Ежегодный отчет о проведении профессиональной аудиторской организацией курсов повышения квалификации аудиторов и выдачи сертификатов (до 1 марта года, следующего за отчетным периодом)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достоверное предоставление отчетности в уполномоченный орган;</w:t>
            </w:r>
          </w:p>
          <w:p>
            <w:pPr>
              <w:spacing w:after="20"/>
              <w:ind w:left="20"/>
              <w:jc w:val="both"/>
            </w:pPr>
            <w:r>
              <w:rPr>
                <w:rFonts w:ascii="Times New Roman"/>
                <w:b w:val="false"/>
                <w:i w:val="false"/>
                <w:color w:val="000000"/>
                <w:sz w:val="20"/>
              </w:rPr>
              <w:t>Ежеквартальный отчет о соответствии минимальным требованиям аудиторских организаций, которые проводят обязательный аудит; (до 15 числа месяца, следующего за отчетным периодом)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достоверное предоставление отчетности в уполномоченный орган;</w:t>
            </w:r>
          </w:p>
          <w:p>
            <w:pPr>
              <w:spacing w:after="20"/>
              <w:ind w:left="20"/>
              <w:jc w:val="both"/>
            </w:pPr>
            <w:r>
              <w:rPr>
                <w:rFonts w:ascii="Times New Roman"/>
                <w:b w:val="false"/>
                <w:i w:val="false"/>
                <w:color w:val="000000"/>
                <w:sz w:val="20"/>
              </w:rPr>
              <w:t>Ежеквартальный отчет о проведенном внешнем контроле качества аудиторских организаций, не являющихся объектами внешнего контроля качества профессионального совета по аудиторской деятельности, профессиональной аудиторской организацией (до 15 числа месяца, следующего за отчетным периодом)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внешнего контроля качества профессиональной организацией в отношении аудиторских организаций, которые не являются объектами внешнего контроля качества профессионального совета один раз в 3 (три)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только аудиторов и аудиторских организаций, являющихся учредителями и участниками профессиональной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в течение 3 (трех) месяцев причин, по которым вынесено предупредительное письмо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об изменениях уполномоченному органу в случае принятия (выбытия, исключения) членов, а также изменения персонального состава рабочего органа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внешнего контроля качества только аудиторами, осуществляющими свою деятельность в качестве аудитора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оснований внепланового внешнего контроля качества:</w:t>
            </w:r>
          </w:p>
          <w:p>
            <w:pPr>
              <w:spacing w:after="20"/>
              <w:ind w:left="20"/>
              <w:jc w:val="both"/>
            </w:pPr>
            <w:r>
              <w:rPr>
                <w:rFonts w:ascii="Times New Roman"/>
                <w:b w:val="false"/>
                <w:i w:val="false"/>
                <w:color w:val="000000"/>
                <w:sz w:val="20"/>
              </w:rPr>
              <w:t>в случае получения профессиональным советом или профессиональной организацией обращения на действия (бездействие) аудиторов, аудиторских организаций и профессиональных организаций;</w:t>
            </w:r>
          </w:p>
          <w:p>
            <w:pPr>
              <w:spacing w:after="20"/>
              <w:ind w:left="20"/>
              <w:jc w:val="both"/>
            </w:pPr>
            <w:r>
              <w:rPr>
                <w:rFonts w:ascii="Times New Roman"/>
                <w:b w:val="false"/>
                <w:i w:val="false"/>
                <w:color w:val="000000"/>
                <w:sz w:val="20"/>
              </w:rPr>
              <w:t>в случае несогласия с результатами работы аудиторов и (или) аудиторских организаций;</w:t>
            </w:r>
          </w:p>
          <w:p>
            <w:pPr>
              <w:spacing w:after="20"/>
              <w:ind w:left="20"/>
              <w:jc w:val="both"/>
            </w:pPr>
            <w:r>
              <w:rPr>
                <w:rFonts w:ascii="Times New Roman"/>
                <w:b w:val="false"/>
                <w:i w:val="false"/>
                <w:color w:val="000000"/>
                <w:sz w:val="20"/>
              </w:rPr>
              <w:t>по инициативе объектов внешнего контроля качества профессионального совета;</w:t>
            </w:r>
          </w:p>
          <w:p>
            <w:pPr>
              <w:spacing w:after="20"/>
              <w:ind w:left="20"/>
              <w:jc w:val="both"/>
            </w:pPr>
            <w:r>
              <w:rPr>
                <w:rFonts w:ascii="Times New Roman"/>
                <w:b w:val="false"/>
                <w:i w:val="false"/>
                <w:color w:val="000000"/>
                <w:sz w:val="20"/>
              </w:rPr>
              <w:t>по инициативе уполномоченного органа согласно поступившим обращениям, связанным с деятельностью аудиторов, аудиторских организаций и профессиональных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10 (десяти) процентов от средней численности, но не менее 5 (пяти) аудиторских организаций – членов профессиональной организации за 12 (двенадцать) календарных месяцев фактов лишения лицензии на осуществление аудиторской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проведения планового внешнего контроля качества каждой аудиторской организацией по утвержденному внутреннему плану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 проверки внешнего контроля качества аудиторами не превышают 10 (десять)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определения оценки по результатам внешнего контроля качества не превышают более 2 (двух)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проведения внешнего контроля качества:</w:t>
            </w:r>
          </w:p>
          <w:p>
            <w:pPr>
              <w:spacing w:after="20"/>
              <w:ind w:left="20"/>
              <w:jc w:val="both"/>
            </w:pPr>
            <w:r>
              <w:rPr>
                <w:rFonts w:ascii="Times New Roman"/>
                <w:b w:val="false"/>
                <w:i w:val="false"/>
                <w:color w:val="000000"/>
                <w:sz w:val="20"/>
              </w:rPr>
              <w:t>вопросы по организации процедуры внешнего контроля качества;</w:t>
            </w:r>
          </w:p>
          <w:p>
            <w:pPr>
              <w:spacing w:after="20"/>
              <w:ind w:left="20"/>
              <w:jc w:val="both"/>
            </w:pPr>
            <w:r>
              <w:rPr>
                <w:rFonts w:ascii="Times New Roman"/>
                <w:b w:val="false"/>
                <w:i w:val="false"/>
                <w:color w:val="000000"/>
                <w:sz w:val="20"/>
              </w:rPr>
              <w:t>основания отвода (самоотвода) контролера либо других лиц, участвующих в процедуре внешнего контроля качества;</w:t>
            </w:r>
          </w:p>
          <w:p>
            <w:pPr>
              <w:spacing w:after="20"/>
              <w:ind w:left="20"/>
              <w:jc w:val="both"/>
            </w:pPr>
            <w:r>
              <w:rPr>
                <w:rFonts w:ascii="Times New Roman"/>
                <w:b w:val="false"/>
                <w:i w:val="false"/>
                <w:color w:val="000000"/>
                <w:sz w:val="20"/>
              </w:rPr>
              <w:t>программа и этапы проведения внешнего контроля качества;</w:t>
            </w:r>
          </w:p>
          <w:p>
            <w:pPr>
              <w:spacing w:after="20"/>
              <w:ind w:left="20"/>
              <w:jc w:val="both"/>
            </w:pPr>
            <w:r>
              <w:rPr>
                <w:rFonts w:ascii="Times New Roman"/>
                <w:b w:val="false"/>
                <w:i w:val="false"/>
                <w:color w:val="000000"/>
                <w:sz w:val="20"/>
              </w:rPr>
              <w:t>перечень документов аудиторской организации, подлежащих внешнему контролю качества, который включает учредительные и правоустанавливающие документы, лицензии, квалификационные свидетельства аудиторов, документы по повышению квалификации аудиторов, документы по кадровому составу, внутрифирменные документы по контролю качества аудита, рабочую документацию по выполненным аудиторским заданиям;</w:t>
            </w:r>
          </w:p>
          <w:p>
            <w:pPr>
              <w:spacing w:after="20"/>
              <w:ind w:left="20"/>
              <w:jc w:val="both"/>
            </w:pPr>
            <w:r>
              <w:rPr>
                <w:rFonts w:ascii="Times New Roman"/>
                <w:b w:val="false"/>
                <w:i w:val="false"/>
                <w:color w:val="000000"/>
                <w:sz w:val="20"/>
              </w:rPr>
              <w:t>критерии отбора проектов по аудиту, подвергающихся внешнему контролю качества, а также отбора контролеров, исключающие конфликт интересов (обеспечение независимости);</w:t>
            </w:r>
          </w:p>
          <w:p>
            <w:pPr>
              <w:spacing w:after="20"/>
              <w:ind w:left="20"/>
              <w:jc w:val="both"/>
            </w:pPr>
            <w:r>
              <w:rPr>
                <w:rFonts w:ascii="Times New Roman"/>
                <w:b w:val="false"/>
                <w:i w:val="false"/>
                <w:color w:val="000000"/>
                <w:sz w:val="20"/>
              </w:rPr>
              <w:t>достаточности ресурсов, направленных аудиторской организацией на выполнение договора оказания аудиторских услуг;</w:t>
            </w:r>
          </w:p>
          <w:p>
            <w:pPr>
              <w:spacing w:after="20"/>
              <w:ind w:left="20"/>
              <w:jc w:val="both"/>
            </w:pPr>
            <w:r>
              <w:rPr>
                <w:rFonts w:ascii="Times New Roman"/>
                <w:b w:val="false"/>
                <w:i w:val="false"/>
                <w:color w:val="000000"/>
                <w:sz w:val="20"/>
              </w:rPr>
              <w:t>вопросы проверки системы внутреннего контроля качества аудиторской организации;</w:t>
            </w:r>
          </w:p>
          <w:p>
            <w:pPr>
              <w:spacing w:after="20"/>
              <w:ind w:left="20"/>
              <w:jc w:val="both"/>
            </w:pPr>
            <w:r>
              <w:rPr>
                <w:rFonts w:ascii="Times New Roman"/>
                <w:b w:val="false"/>
                <w:i w:val="false"/>
                <w:color w:val="000000"/>
                <w:sz w:val="20"/>
              </w:rPr>
              <w:t>наличие правил внутреннего контроля и следующих программ их осуществления: программы организации внутреннего контроля в целях противодействия легализации (отмыванию) доходов, полученных преступным путем, и финансированию терроризма;</w:t>
            </w:r>
          </w:p>
          <w:p>
            <w:pPr>
              <w:spacing w:after="20"/>
              <w:ind w:left="20"/>
              <w:jc w:val="both"/>
            </w:pPr>
            <w:r>
              <w:rPr>
                <w:rFonts w:ascii="Times New Roman"/>
                <w:b w:val="false"/>
                <w:i w:val="false"/>
                <w:color w:val="000000"/>
                <w:sz w:val="20"/>
              </w:rPr>
              <w:t>программы управления риском легализации (отмывания) доходов, полученных преступным путем, и финансирования терроризма, учитывающую риски клиентов и риски использования услуг в преступных целях, включая риск использования технологических достижений;</w:t>
            </w:r>
          </w:p>
          <w:p>
            <w:pPr>
              <w:spacing w:after="20"/>
              <w:ind w:left="20"/>
              <w:jc w:val="both"/>
            </w:pPr>
            <w:r>
              <w:rPr>
                <w:rFonts w:ascii="Times New Roman"/>
                <w:b w:val="false"/>
                <w:i w:val="false"/>
                <w:color w:val="000000"/>
                <w:sz w:val="20"/>
              </w:rPr>
              <w:t>программы идентификации клиентов;</w:t>
            </w:r>
          </w:p>
          <w:p>
            <w:pPr>
              <w:spacing w:after="20"/>
              <w:ind w:left="20"/>
              <w:jc w:val="both"/>
            </w:pPr>
            <w:r>
              <w:rPr>
                <w:rFonts w:ascii="Times New Roman"/>
                <w:b w:val="false"/>
                <w:i w:val="false"/>
                <w:color w:val="000000"/>
                <w:sz w:val="20"/>
              </w:rPr>
              <w:t>программы мониторинга и изучения операций клиентов, включая изучение сложных, необычно крупных и других необычных операций клиентов;</w:t>
            </w:r>
          </w:p>
          <w:p>
            <w:pPr>
              <w:spacing w:after="20"/>
              <w:ind w:left="20"/>
              <w:jc w:val="both"/>
            </w:pPr>
            <w:r>
              <w:rPr>
                <w:rFonts w:ascii="Times New Roman"/>
                <w:b w:val="false"/>
                <w:i w:val="false"/>
                <w:color w:val="000000"/>
                <w:sz w:val="20"/>
              </w:rPr>
              <w:t xml:space="preserve"> программы подготовки и обучения сотрудников субъектов финансового мониторинга по вопросам противодействия легализации (отмыванию) доходов, полученных преступным путем, и финансированию терроризма;</w:t>
            </w:r>
          </w:p>
          <w:p>
            <w:pPr>
              <w:spacing w:after="20"/>
              <w:ind w:left="20"/>
              <w:jc w:val="both"/>
            </w:pPr>
            <w:r>
              <w:rPr>
                <w:rFonts w:ascii="Times New Roman"/>
                <w:b w:val="false"/>
                <w:i w:val="false"/>
                <w:color w:val="000000"/>
                <w:sz w:val="20"/>
              </w:rPr>
              <w:t>вопросы внешнего контроля качества отдельных аудиторских заданий;</w:t>
            </w:r>
          </w:p>
          <w:p>
            <w:pPr>
              <w:spacing w:after="20"/>
              <w:ind w:left="20"/>
              <w:jc w:val="both"/>
            </w:pPr>
            <w:r>
              <w:rPr>
                <w:rFonts w:ascii="Times New Roman"/>
                <w:b w:val="false"/>
                <w:i w:val="false"/>
                <w:color w:val="000000"/>
                <w:sz w:val="20"/>
              </w:rPr>
              <w:t>меры по обеспечению защиты информации, доступ к которой получен комитетом по контролю качества и профессиональной организацией в ходе проведения внешнего контроля качества;</w:t>
            </w:r>
          </w:p>
          <w:p>
            <w:pPr>
              <w:spacing w:after="20"/>
              <w:ind w:left="20"/>
              <w:jc w:val="both"/>
            </w:pPr>
            <w:r>
              <w:rPr>
                <w:rFonts w:ascii="Times New Roman"/>
                <w:b w:val="false"/>
                <w:i w:val="false"/>
                <w:color w:val="000000"/>
                <w:sz w:val="20"/>
              </w:rPr>
              <w:t>отчетность контролеров и оформление результатов прохождения аудиторской организацией внешнего контроля качества;</w:t>
            </w:r>
          </w:p>
          <w:p>
            <w:pPr>
              <w:spacing w:after="20"/>
              <w:ind w:left="20"/>
              <w:jc w:val="both"/>
            </w:pPr>
            <w:r>
              <w:rPr>
                <w:rFonts w:ascii="Times New Roman"/>
                <w:b w:val="false"/>
                <w:i w:val="false"/>
                <w:color w:val="000000"/>
                <w:sz w:val="20"/>
              </w:rPr>
              <w:t>меры по реализации аудиторской организацией результатов прохождения внешнего контроля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9" w:id="125"/>
      <w:r>
        <w:rPr>
          <w:rFonts w:ascii="Times New Roman"/>
          <w:b w:val="false"/>
          <w:i w:val="false"/>
          <w:color w:val="000000"/>
          <w:sz w:val="28"/>
        </w:rPr>
        <w:t>
      Должностное (ые) лицо (а)____________________________________________</w:t>
      </w:r>
    </w:p>
    <w:bookmarkEnd w:id="125"/>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июля 2019 года № 724</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июля 2019 года № 65</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4 предусматривается в редакции совместного приказа Министра финансов РК от 29.12.2025 </w:t>
      </w:r>
      <w:r>
        <w:rPr>
          <w:rFonts w:ascii="Times New Roman"/>
          <w:b w:val="false"/>
          <w:i w:val="false"/>
          <w:color w:val="ff0000"/>
          <w:sz w:val="28"/>
        </w:rPr>
        <w:t>№ 815</w:t>
      </w:r>
      <w:r>
        <w:rPr>
          <w:rFonts w:ascii="Times New Roman"/>
          <w:b w:val="false"/>
          <w:i w:val="false"/>
          <w:color w:val="ff0000"/>
          <w:sz w:val="28"/>
        </w:rPr>
        <w:t xml:space="preserve"> и Заместителя Премьер-Министра – Министра национальной экономики РК от 29.12.2025 № 137 (вводится в действие по истечении шестидесяти календарных дней после дня его первого официального опубликования).</w:t>
      </w:r>
    </w:p>
    <w:bookmarkStart w:name="z630" w:id="126"/>
    <w:p>
      <w:pPr>
        <w:spacing w:after="0"/>
        <w:ind w:left="0"/>
        <w:jc w:val="left"/>
      </w:pPr>
      <w:r>
        <w:rPr>
          <w:rFonts w:ascii="Times New Roman"/>
          <w:b/>
          <w:i w:val="false"/>
          <w:color w:val="000000"/>
        </w:rPr>
        <w:t xml:space="preserve"> Проверочный лист</w:t>
      </w:r>
    </w:p>
    <w:bookmarkEnd w:id="126"/>
    <w:p>
      <w:pPr>
        <w:spacing w:after="0"/>
        <w:ind w:left="0"/>
        <w:jc w:val="both"/>
      </w:pPr>
      <w:r>
        <w:rPr>
          <w:rFonts w:ascii="Times New Roman"/>
          <w:b w:val="false"/>
          <w:i w:val="false"/>
          <w:color w:val="ff0000"/>
          <w:sz w:val="28"/>
        </w:rPr>
        <w:t xml:space="preserve">
      Сноска. Совместный приказ дополнен приложением 4 </w:t>
      </w:r>
      <w:r>
        <w:rPr>
          <w:rFonts w:ascii="Times New Roman"/>
          <w:b w:val="false"/>
          <w:i w:val="false"/>
          <w:color w:val="ff0000"/>
          <w:sz w:val="28"/>
        </w:rPr>
        <w:t>совместным приказом</w:t>
      </w:r>
      <w:r>
        <w:rPr>
          <w:rFonts w:ascii="Times New Roman"/>
          <w:b w:val="false"/>
          <w:i w:val="false"/>
          <w:color w:val="ff0000"/>
          <w:sz w:val="28"/>
        </w:rPr>
        <w:t xml:space="preserve"> Заместителя Премьер-Министра - Министра финансов РК от 15.12.2022 № 1285 и Министра национальной экономики РК от 15.12.2022 № 127 (вводится в действие с 01.01.2023);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Заместителя Премьер-Министра - Министра финансов РК от 05.06.2023 № 606 и Министра национальной экономики РК от 05.06.2023 № 99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31" w:id="127"/>
      <w:r>
        <w:rPr>
          <w:rFonts w:ascii="Times New Roman"/>
          <w:b w:val="false"/>
          <w:i w:val="false"/>
          <w:color w:val="000000"/>
          <w:sz w:val="28"/>
        </w:rPr>
        <w:t xml:space="preserve">
      в области аудиторской деятельности в соответствии со </w:t>
      </w:r>
      <w:r>
        <w:rPr>
          <w:rFonts w:ascii="Times New Roman"/>
          <w:b w:val="false"/>
          <w:i w:val="false"/>
          <w:color w:val="000000"/>
          <w:sz w:val="28"/>
        </w:rPr>
        <w:t>статьей 138</w:t>
      </w:r>
    </w:p>
    <w:bookmarkEnd w:id="127"/>
    <w:p>
      <w:pPr>
        <w:spacing w:after="0"/>
        <w:ind w:left="0"/>
        <w:jc w:val="both"/>
      </w:pPr>
      <w:r>
        <w:rPr>
          <w:rFonts w:ascii="Times New Roman"/>
          <w:b w:val="false"/>
          <w:i w:val="false"/>
          <w:color w:val="000000"/>
          <w:sz w:val="28"/>
        </w:rPr>
        <w:t>Предпринимательского кодекса Республики Казахстан в отношении аудиторских</w:t>
      </w:r>
    </w:p>
    <w:p>
      <w:pPr>
        <w:spacing w:after="0"/>
        <w:ind w:left="0"/>
        <w:jc w:val="both"/>
      </w:pPr>
      <w:r>
        <w:rPr>
          <w:rFonts w:ascii="Times New Roman"/>
          <w:b w:val="false"/>
          <w:i w:val="false"/>
          <w:color w:val="000000"/>
          <w:sz w:val="28"/>
        </w:rPr>
        <w:t>организаций</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______________________________________________</w:t>
      </w:r>
    </w:p>
    <w:p>
      <w:pPr>
        <w:spacing w:after="0"/>
        <w:ind w:left="0"/>
        <w:jc w:val="both"/>
      </w:pPr>
      <w:r>
        <w:rPr>
          <w:rFonts w:ascii="Times New Roman"/>
          <w:b w:val="false"/>
          <w:i w:val="false"/>
          <w:color w:val="000000"/>
          <w:sz w:val="28"/>
        </w:rPr>
        <w:t>__________________________________________________________ № _____ дата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аудиторов в составе аудиторской организации не менее 2 (двух) человек (в том числе руководителя и (или) учредителей (участников)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аудитором своей деятельности в качестве аудитора только в составе одной аудиторской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уставном капитале стопроцентной доли, принадлежащей аудитору (аудиторам) и (или) иностранной (иностранным) аудиторским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сведений в отношении руководителя аудиторской организации о лишении лицензии в соответствии с законодательными актами Республики Казахстан ранее возглавляемой им аудиторской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руководителя аудиторской организации, а также у аудиторов квалификационного свидетельства о присвоении квалификации "аудитор", выданного Квалификационной комиссией по аттестации кандидатов в аудиторы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руководителя филиала квалификационного свидетельства "аудитор" при создании филиала на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субъектом среднего или крупного предпринимательства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Аудиторская организация, осуществляющая аудиторскую деятельность на территории Республики Казахстан, не является участником другой аудиторской организации - резидента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32" w:id="128"/>
      <w:r>
        <w:rPr>
          <w:rFonts w:ascii="Times New Roman"/>
          <w:b w:val="false"/>
          <w:i w:val="false"/>
          <w:color w:val="000000"/>
          <w:sz w:val="28"/>
        </w:rPr>
        <w:t>
      Должностное (ые) лицо (а) _____________________________________________</w:t>
      </w:r>
    </w:p>
    <w:bookmarkEnd w:id="12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июля 2019 года № 724</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июля 2019 года № 65</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5 предусматривается в редакции совместного приказа Министра финансов РК от 29.12.2025 </w:t>
      </w:r>
      <w:r>
        <w:rPr>
          <w:rFonts w:ascii="Times New Roman"/>
          <w:b w:val="false"/>
          <w:i w:val="false"/>
          <w:color w:val="ff0000"/>
          <w:sz w:val="28"/>
        </w:rPr>
        <w:t>№ 815</w:t>
      </w:r>
      <w:r>
        <w:rPr>
          <w:rFonts w:ascii="Times New Roman"/>
          <w:b w:val="false"/>
          <w:i w:val="false"/>
          <w:color w:val="ff0000"/>
          <w:sz w:val="28"/>
        </w:rPr>
        <w:t xml:space="preserve"> и Заместителя Премьер-Министра – Министра национальной экономики РК от 29.12.2025 № 137 (вводится в действие по истечении шестидесяти календарных дней после дня его первого официального опубликования).</w:t>
      </w:r>
    </w:p>
    <w:bookmarkStart w:name="z633" w:id="129"/>
    <w:p>
      <w:pPr>
        <w:spacing w:after="0"/>
        <w:ind w:left="0"/>
        <w:jc w:val="left"/>
      </w:pPr>
      <w:r>
        <w:rPr>
          <w:rFonts w:ascii="Times New Roman"/>
          <w:b/>
          <w:i w:val="false"/>
          <w:color w:val="000000"/>
        </w:rPr>
        <w:t xml:space="preserve"> Проверочный лист</w:t>
      </w:r>
    </w:p>
    <w:bookmarkEnd w:id="129"/>
    <w:p>
      <w:pPr>
        <w:spacing w:after="0"/>
        <w:ind w:left="0"/>
        <w:jc w:val="both"/>
      </w:pPr>
      <w:r>
        <w:rPr>
          <w:rFonts w:ascii="Times New Roman"/>
          <w:b w:val="false"/>
          <w:i w:val="false"/>
          <w:color w:val="ff0000"/>
          <w:sz w:val="28"/>
        </w:rPr>
        <w:t xml:space="preserve">
      Сноска. Совместный приказ дополнен приложением 5 </w:t>
      </w:r>
      <w:r>
        <w:rPr>
          <w:rFonts w:ascii="Times New Roman"/>
          <w:b w:val="false"/>
          <w:i w:val="false"/>
          <w:color w:val="ff0000"/>
          <w:sz w:val="28"/>
        </w:rPr>
        <w:t>совместным приказом</w:t>
      </w:r>
      <w:r>
        <w:rPr>
          <w:rFonts w:ascii="Times New Roman"/>
          <w:b w:val="false"/>
          <w:i w:val="false"/>
          <w:color w:val="ff0000"/>
          <w:sz w:val="28"/>
        </w:rPr>
        <w:t xml:space="preserve"> Заместителя Премьер-Министра - Министра финансов РК от 15.12.2022 № 1285 и Министра национальной экономики РК от 15.12.2022 № 127 (вводится в действие с 01.01.2023);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Заместителя Премьер-Министра - Министра финансов РК от 05.06.2023 № 606 и Министра национальной экономики РК от 05.06.2023 № 99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34" w:id="130"/>
      <w:r>
        <w:rPr>
          <w:rFonts w:ascii="Times New Roman"/>
          <w:b w:val="false"/>
          <w:i w:val="false"/>
          <w:color w:val="000000"/>
          <w:sz w:val="28"/>
        </w:rPr>
        <w:t xml:space="preserve">
      в области аудиторской деятельности в соответствии со </w:t>
      </w:r>
      <w:r>
        <w:rPr>
          <w:rFonts w:ascii="Times New Roman"/>
          <w:b w:val="false"/>
          <w:i w:val="false"/>
          <w:color w:val="000000"/>
          <w:sz w:val="28"/>
        </w:rPr>
        <w:t>статьей 138</w:t>
      </w:r>
    </w:p>
    <w:bookmarkEnd w:id="130"/>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профессиональных аудиторских организаций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 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_____________________________________________</w:t>
      </w:r>
    </w:p>
    <w:p>
      <w:pPr>
        <w:spacing w:after="0"/>
        <w:ind w:left="0"/>
        <w:jc w:val="both"/>
      </w:pPr>
      <w:r>
        <w:rPr>
          <w:rFonts w:ascii="Times New Roman"/>
          <w:b w:val="false"/>
          <w:i w:val="false"/>
          <w:color w:val="000000"/>
          <w:sz w:val="28"/>
        </w:rPr>
        <w:t>____________________________________________________ № __________ дата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места нахождения________________________________________________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Учредителями и участниками профессиональных организаций являются только аудиторы и аудиторские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Аудиторы и аудиторские организации выступают членами только одной профессиональной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управления профессиональных организаций формируется из числа аудиторов – членов профессиональной организации в количестве не менее трех аудиторов с опытом работы в области аудита в течение трех лет из последних пяти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профессиональной организации рабочих органов:</w:t>
            </w:r>
          </w:p>
          <w:p>
            <w:pPr>
              <w:spacing w:after="20"/>
              <w:ind w:left="20"/>
              <w:jc w:val="both"/>
            </w:pPr>
            <w:r>
              <w:rPr>
                <w:rFonts w:ascii="Times New Roman"/>
                <w:b w:val="false"/>
                <w:i w:val="false"/>
                <w:color w:val="000000"/>
                <w:sz w:val="20"/>
              </w:rPr>
              <w:t>по контролю качества</w:t>
            </w:r>
          </w:p>
          <w:p>
            <w:pPr>
              <w:spacing w:after="20"/>
              <w:ind w:left="20"/>
              <w:jc w:val="both"/>
            </w:pPr>
            <w:r>
              <w:rPr>
                <w:rFonts w:ascii="Times New Roman"/>
                <w:b w:val="false"/>
                <w:i w:val="false"/>
                <w:color w:val="000000"/>
                <w:sz w:val="20"/>
              </w:rPr>
              <w:t>по международным стандартам аудита и финансовой отчетности;</w:t>
            </w:r>
          </w:p>
          <w:p>
            <w:pPr>
              <w:spacing w:after="20"/>
              <w:ind w:left="20"/>
              <w:jc w:val="both"/>
            </w:pPr>
            <w:r>
              <w:rPr>
                <w:rFonts w:ascii="Times New Roman"/>
                <w:b w:val="false"/>
                <w:i w:val="false"/>
                <w:color w:val="000000"/>
                <w:sz w:val="20"/>
              </w:rPr>
              <w:t>по повышению квалификации аудиторов;</w:t>
            </w:r>
          </w:p>
          <w:p>
            <w:pPr>
              <w:spacing w:after="20"/>
              <w:ind w:left="20"/>
              <w:jc w:val="both"/>
            </w:pPr>
            <w:r>
              <w:rPr>
                <w:rFonts w:ascii="Times New Roman"/>
                <w:b w:val="false"/>
                <w:i w:val="false"/>
                <w:color w:val="000000"/>
                <w:sz w:val="20"/>
              </w:rPr>
              <w:t>по вопросам этики;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35" w:id="131"/>
      <w:r>
        <w:rPr>
          <w:rFonts w:ascii="Times New Roman"/>
          <w:b w:val="false"/>
          <w:i w:val="false"/>
          <w:color w:val="000000"/>
          <w:sz w:val="28"/>
        </w:rPr>
        <w:t>
      Должностное (ые) лицо (а)____________________________________________</w:t>
      </w:r>
    </w:p>
    <w:bookmarkEnd w:id="131"/>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