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dd3c" w14:textId="327d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18 марта 2025 года № 818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2025 года № 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"Национальный ядерный центр Республики Казахстан" Министерства энергетики Республики Казахстан" в республиканское государственное предприятие на праве хозяйственного ведения "Национальный ядерный центр Республики Казахстан" Агентства Республики Казахстан по атомной энергии";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"Институт ядерной физики" Министерства энергетики Республики Казахстан" в республиканское государственное предприятие на праве хозяйственного ведения "Институт ядерной физики" Агентства Республики Казахстан по атомной энергии".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Агентство Республики Казахстан по атомной энергии (по согласованию):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 на праве хозяйственного ведения "Национальный ядерный центр Республики Казахстан" Агентства Республики Казахстан по атомной энергии" и "Институт ядерной физики" Агентства Республики Казахстан по атомной энергии";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компетентным органом в области недропользования в части разведки урана;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компетентным органом в области недропользования в части добычи урана.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постановления, который вводится в действие со дня введения в действие Закона Республики Казахстан, предусматривающего внесение соответствующих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2025 года № 588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58,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на ПХВ "Национальный ядерный центр Республики Казахстан" Агентства Республики Казахстан по атомной энергии";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66,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на ПХВ "Институт ядерной физики" Агентства Республики Казахстан по атомной энергии".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энергетики Республики Казахстан (далее – Министерство) является центральным исполнительным органом Республики Казахстан, осуществляющим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государственного регулирования производства нефтепродуктов, газа и газоснабжения, магистрального трубопровода, электроэнергетики, теплоэнергетики в части производства, транспортировки и реализации тепловой энергии, развития возобновляемых источников энергии (далее – регулируемые сферы).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ведомство – Комитет государственного энергетического надзора и контроля Министерства энергетики Республики Казахстан.";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государственной политики, совершенствование системы государственного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государственного регулирования производства нефтепродуктов, газа и газоснабжения, магистрального трубопровода, электроэнергетики, теплоэнергетики в части производства, транспортировки и реализации тепловой энергии, развития возобновляемых источников энергии и обеспечения нормативными правовыми актами и нормативно-техническими документами в пределах своей компетенции;";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обеспечение воспроизводства углеводородов и их рациональное использование, включая сырой газ;";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разрабатывает и утверждает нормативно-технические документы в сферах газа и газоснабжения, проведения операций по недропользованию и транспортировке нефти, производства нефтепродуктов, в области магистрального трубопровода, углеводородов, электроэнергетики, теплоэнергетики в части производства, транспортировки и реализации тепловой энергии, сферах проектирования, строительства, эксплуатационных и технико-экономических характеристик оборудования;";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разрабатывает и утверждает правила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государственный контроль за соблюдением недропользователями порядка приобретения товаров, работ и услуг при проведении операций по разведке и (или) добыче углеводородов;";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разрабатывает и утверждает формы и правила представления отчетов при проведении разведки и добычи углеводородов, осуществлении операций в сфере добычи и оборота нефти и (или) сырого газа, угля;";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 осуществляет государственный контроль в области проведения операций по недропользованию по углеводородам;";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"72) предоставляет и прекращает, досрочно прекращает права недропользования для разведки и добычи углеводородов;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заключает контракт на разведку и добычу или добычу углеводородов;";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"78) принимает решение о возобновлении действия контрактов на разведку и добычу углеводородов;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заключает с национальной компанией договор доверительного управления контрактной территорией в случае досрочного прекращения действия контракта по углеводородам;";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"81) разрабатывает и утверждает порядок заключения договора залога банковского вклада и его типовую форму в области углеводородов;";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"89) заключает с Национальной палатой предпринимателей Республики Казахстан и недропользователями соглашения о стимулировании предпринимательства в области углеводородов;";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осуществляет мониторинг выполнения недропользователями обязательств по закупкам товаров, работ и услуг у казахстанских производителей, привлечению казахстанских кадров, обучению казахстанских кадров, финансированию научно-исследовательских, научно-технических и (или) опытно-конструкторских работ, а также приобретению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формирование и ведение реестра товаров, работ и услуг, используемых при проведении операций по недропользованию по углеводородам, и их производителей, включая критерии их оценки для внесения в данный реестр;";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выдает разрешения на создание и размещение морских объектов, используемых для проведения разведки и (или) добычи углеводородов на море;";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"163) устанавливает минимальные нормативы и требования к ресурсам, необходимым для ликвидации разливов нефти на море и в предохранительной зоне;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Национальный план обеспечения готовности и действий к ликвидации разливов нефти на море и предохранительной зоне Республики Казахстан совместно с уполномоченными органами в сфере гражданской защиты и в области торгового мореплавания;";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394)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397-1)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397-2)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397-3)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401-2)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406-7)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406-8)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406-9)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406-10)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406-12)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"414) разрабатывает и утверждает правила определения размера ущерба, причиненного вследствие нарушения требований по рациональному и комплексному использованию недр при разведке и добыче углеводородов;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разрабатывает и утверждает правила консервации и ликвидации при проведении разведки и добычи углеводородов;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определяет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в области углеводородов;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разрабатывает и утверждает правила финансирования обучения казахстанских кадров недропользователями в течение периода добычи углеводородов совместно с уполномоченным органом в области образования;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разрабатывает и утверждает правила финансирования научно-исследовательских, научно-технических и (или) опытно-конструкторских работ недропользователями в течение периода добычи углеводородов совместно с уполномоченным органом в области науки;";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"421) разрабатывает и утверждает правила синхронизации работ систем электронного закупа с работой реестра товаров, работ и услуг, используемых при проведении операций по недропользованию в отношении углеводородов и их производителей;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разрабатывает и утверждает формы и правила представления в уполномоченный орган в области углеводородов годовых (на один финансовый год) и среднесрочных (на пять финансовых лет) программ закупа товаров, работ и услуг;";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"424) разрабатывает и утверждает правила формирования и ведения реестра товаров, работ и услуг, используемых при проведении операций по недропользованию по углеводородам и их производителей, включая критерии их оценки для внесения в реестр;";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"427) разрабатывает и утверждает правила создания, размещения и эксплуатации морских объектов, используемых при проведении разведки и (или) добычи углеводородов на море;";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"438) регулирует операции по недропользованию по углеводородам;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осуществляет государственный контроль за соблюдением положений проектных документов по углеводородам;";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 и 7, исключить;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ведомства, изложить в следующей редакции: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Акмолинской области".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Актюбинской области".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"Территориальный департамент государственного энергетического надзора и контроля Министерства энергетики Республики Казахстан по Алматинской области".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Атырауской области".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Восточно-Казахстанской области".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Жамбылской области".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Западно-Казахстанской области".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Карагандинской области".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Костанайской области".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Кызылординской области".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Мангистауской области".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Павлодарской области".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Северо-Казахстанской области".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Туркестанской области".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Астана".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Алматы".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Шымкент".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Абай".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Жетісу".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Ұлытау.".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отчуждению":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государственной собственности, не подлежащих отчуждению, утвержденном указанным постановлением: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Объекты, использующие атомную энергию: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объекты, использующие атомную энергию, находящиеся в ведении республиканского государственного предприятия на праве хозяйственного ведения "Институт ядерной физики" Агентства Республики Казахстан по атомной энергии: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реакторный комплекс ВВР-К;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радиохимический комплекс (здания 24, 24а);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на базе циклотрона У-150М;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УКП-2-1;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ЭЛВ-4;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C-30;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ДЦ-60;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площадки проведения ядерных взрывов – объекты "Лира";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объекты, использующие атомную энергию, находящиеся в ведении республиканского государственного предприятия на праве хозяйственного ведения "Национальный ядерный центр Республики Казахстан" Агентства Республики Казахстан по атомной энергии: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 "Байкал-1";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исследовательского реактора ИГР;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Курчатов, площадка 2А;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 № 2 и № 4;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геофизическая обсерватория "Боровое".".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2023 года № 907 "Об определении уполномоченной организации по обеспечению функционирования Семипалатинской зоны ядерной безопасности":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уполномоченной организацией по обеспечению функционирования Семипалатинской зоны ядерной безопасности республиканское государственное предприятие на праве хозяйственного ведения "Национальный ядерный центр Республики Казахстан" Агентства Республики Казахстан по атомной энергии.".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