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ac1e" w14:textId="022a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20 сентября 2010 г. № 378</w:t>
      </w:r>
    </w:p>
    <w:p>
      <w:pPr>
        <w:spacing w:after="0"/>
        <w:ind w:left="0"/>
        <w:jc w:val="both"/>
      </w:pPr>
      <w:r>
        <w:rPr>
          <w:rFonts w:ascii="Times New Roman"/>
          <w:b w:val="false"/>
          <w:i w:val="false"/>
          <w:color w:val="000000"/>
          <w:sz w:val="28"/>
        </w:rPr>
        <w:t>Решение Коллегии Евразийской экономической комиссии от 24 апреля 2017 года № 33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деклараций"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за исключением пункта 3 изменений, предусмотренных настоящим Решением.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изменений, предусмотренных настоящим Решением, вступает в силу по истечении 30 календарных дней с даты официального опубликования настоящего Решения, но не ранее вступления в силу решения Коллегии Евразийской экономической комиссии, предусматривающего внесение соответствующих изменений в </w:t>
      </w:r>
      <w:r>
        <w:rPr>
          <w:rFonts w:ascii="Times New Roman"/>
          <w:b w:val="false"/>
          <w:i w:val="false"/>
          <w:color w:val="000000"/>
          <w:sz w:val="28"/>
        </w:rPr>
        <w:t>Инструкцию</w:t>
      </w:r>
      <w:r>
        <w:rPr>
          <w:rFonts w:ascii="Times New Roman"/>
          <w:b w:val="false"/>
          <w:i w:val="false"/>
          <w:color w:val="000000"/>
          <w:sz w:val="28"/>
        </w:rPr>
        <w:t xml:space="preserve"> о порядке заполнения декларации на товары, утвержденную Решением Комиссии Таможенного союза от 20 мая 2010 г. № 257. </w:t>
      </w:r>
    </w:p>
    <w:bookmarkStart w:name="z8" w:id="3"/>
    <w:p>
      <w:pPr>
        <w:spacing w:after="0"/>
        <w:ind w:left="0"/>
        <w:jc w:val="both"/>
      </w:pPr>
      <w:r>
        <w:rPr>
          <w:rFonts w:ascii="Times New Roman"/>
          <w:b w:val="false"/>
          <w:i w:val="false"/>
          <w:color w:val="000000"/>
          <w:sz w:val="28"/>
        </w:rPr>
        <w:t xml:space="preserve">
      Положения, предусмотренные абзацами седьмым, восьмым и девятым </w:t>
      </w:r>
      <w:r>
        <w:rPr>
          <w:rFonts w:ascii="Times New Roman"/>
          <w:b w:val="false"/>
          <w:i w:val="false"/>
          <w:color w:val="000000"/>
          <w:sz w:val="28"/>
        </w:rPr>
        <w:t>подпункта "а"</w:t>
      </w:r>
      <w:r>
        <w:rPr>
          <w:rFonts w:ascii="Times New Roman"/>
          <w:b w:val="false"/>
          <w:i w:val="false"/>
          <w:color w:val="000000"/>
          <w:sz w:val="28"/>
        </w:rPr>
        <w:t xml:space="preserve"> пункта 2 изменений, предусмотренных настоящим Решением, распространяются на правоотношения, возникшие с 1 января 2017 г.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Коллегии </w:t>
            </w:r>
            <w:r>
              <w:br/>
            </w:r>
            <w:r>
              <w:rPr>
                <w:rFonts w:ascii="Times New Roman"/>
                <w:b w:val="false"/>
                <w:i/>
                <w:color w:val="000000"/>
                <w:sz w:val="20"/>
              </w:rPr>
              <w:t xml:space="preserve">Евразийской экономической </w:t>
            </w:r>
            <w:r>
              <w:br/>
            </w:r>
            <w:r>
              <w:rPr>
                <w:rFonts w:ascii="Times New Roman"/>
                <w:b w:val="false"/>
                <w:i/>
                <w:color w:val="000000"/>
                <w:sz w:val="20"/>
              </w:rPr>
              <w:t>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24 апреля 2017 г. № 33 </w:t>
            </w:r>
          </w:p>
        </w:tc>
      </w:tr>
    </w:tbl>
    <w:bookmarkStart w:name="z11"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Решение Комиссии Таможенного союза от 20 сентября 2010 г. № 378 </w:t>
      </w:r>
    </w:p>
    <w:bookmarkEnd w:id="4"/>
    <w:bookmarkStart w:name="z12" w:id="5"/>
    <w:p>
      <w:pPr>
        <w:spacing w:after="0"/>
        <w:ind w:left="0"/>
        <w:jc w:val="both"/>
      </w:pPr>
      <w:r>
        <w:rPr>
          <w:rFonts w:ascii="Times New Roman"/>
          <w:b w:val="false"/>
          <w:i w:val="false"/>
          <w:color w:val="000000"/>
          <w:sz w:val="28"/>
        </w:rPr>
        <w:t>
      1. В классификаторе особенностей перемещения товаров (</w:t>
      </w:r>
      <w:r>
        <w:rPr>
          <w:rFonts w:ascii="Times New Roman"/>
          <w:b w:val="false"/>
          <w:i w:val="false"/>
          <w:color w:val="000000"/>
          <w:sz w:val="28"/>
        </w:rPr>
        <w:t>Приложение 2</w:t>
      </w:r>
      <w:r>
        <w:rPr>
          <w:rFonts w:ascii="Times New Roman"/>
          <w:b w:val="false"/>
          <w:i w:val="false"/>
          <w:color w:val="000000"/>
          <w:sz w:val="28"/>
        </w:rPr>
        <w:t xml:space="preserve">) в позициях с кодами 115, 116, 125 и 126 слова "(за исключением Республики Беларусь)" исключить. </w:t>
      </w:r>
    </w:p>
    <w:bookmarkEnd w:id="5"/>
    <w:bookmarkStart w:name="z13" w:id="6"/>
    <w:p>
      <w:pPr>
        <w:spacing w:after="0"/>
        <w:ind w:left="0"/>
        <w:jc w:val="both"/>
      </w:pPr>
      <w:r>
        <w:rPr>
          <w:rFonts w:ascii="Times New Roman"/>
          <w:b w:val="false"/>
          <w:i w:val="false"/>
          <w:color w:val="000000"/>
          <w:sz w:val="28"/>
        </w:rPr>
        <w:t>
      2. В классификаторе льгот по уплате таможенных платежей (</w:t>
      </w:r>
      <w:r>
        <w:rPr>
          <w:rFonts w:ascii="Times New Roman"/>
          <w:b w:val="false"/>
          <w:i w:val="false"/>
          <w:color w:val="000000"/>
          <w:sz w:val="28"/>
        </w:rPr>
        <w:t>Приложение 7</w:t>
      </w:r>
      <w:r>
        <w:rPr>
          <w:rFonts w:ascii="Times New Roman"/>
          <w:b w:val="false"/>
          <w:i w:val="false"/>
          <w:color w:val="000000"/>
          <w:sz w:val="28"/>
        </w:rPr>
        <w:t xml:space="preserve">): </w:t>
      </w:r>
    </w:p>
    <w:bookmarkEnd w:id="6"/>
    <w:bookmarkStart w:name="z14" w:id="7"/>
    <w:p>
      <w:pPr>
        <w:spacing w:after="0"/>
        <w:ind w:left="0"/>
        <w:jc w:val="both"/>
      </w:pPr>
      <w:r>
        <w:rPr>
          <w:rFonts w:ascii="Times New Roman"/>
          <w:b w:val="false"/>
          <w:i w:val="false"/>
          <w:color w:val="000000"/>
          <w:sz w:val="28"/>
        </w:rPr>
        <w:t xml:space="preserve">
      а) в подразделе 1.1: </w:t>
      </w:r>
    </w:p>
    <w:bookmarkEnd w:id="7"/>
    <w:bookmarkStart w:name="z15" w:id="8"/>
    <w:p>
      <w:pPr>
        <w:spacing w:after="0"/>
        <w:ind w:left="0"/>
        <w:jc w:val="both"/>
      </w:pPr>
      <w:r>
        <w:rPr>
          <w:rFonts w:ascii="Times New Roman"/>
          <w:b w:val="false"/>
          <w:i w:val="false"/>
          <w:color w:val="000000"/>
          <w:sz w:val="28"/>
        </w:rPr>
        <w:t xml:space="preserve">
      позиции с кодами АИ и СГ исключить; </w:t>
      </w:r>
    </w:p>
    <w:bookmarkEnd w:id="8"/>
    <w:bookmarkStart w:name="z16" w:id="9"/>
    <w:p>
      <w:pPr>
        <w:spacing w:after="0"/>
        <w:ind w:left="0"/>
        <w:jc w:val="both"/>
      </w:pPr>
      <w:r>
        <w:rPr>
          <w:rFonts w:ascii="Times New Roman"/>
          <w:b w:val="false"/>
          <w:i w:val="false"/>
          <w:color w:val="000000"/>
          <w:sz w:val="28"/>
        </w:rPr>
        <w:t xml:space="preserve">
      в позиции с кодом КС слова "согласно Перечню товаров,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утвержденному Комиссией Таможенного союза" заменить словами ", в соответствии с перечнем, утверждаемым Евразийской экономической комиссией"; </w:t>
      </w:r>
    </w:p>
    <w:bookmarkEnd w:id="9"/>
    <w:bookmarkStart w:name="z17" w:id="10"/>
    <w:p>
      <w:pPr>
        <w:spacing w:after="0"/>
        <w:ind w:left="0"/>
        <w:jc w:val="both"/>
      </w:pPr>
      <w:r>
        <w:rPr>
          <w:rFonts w:ascii="Times New Roman"/>
          <w:b w:val="false"/>
          <w:i w:val="false"/>
          <w:color w:val="000000"/>
          <w:sz w:val="28"/>
        </w:rPr>
        <w:t xml:space="preserve">
      в позиции с кодом ЗШ слово "взимания" исключить; </w:t>
      </w:r>
    </w:p>
    <w:bookmarkEnd w:id="10"/>
    <w:bookmarkStart w:name="z18" w:id="11"/>
    <w:p>
      <w:pPr>
        <w:spacing w:after="0"/>
        <w:ind w:left="0"/>
        <w:jc w:val="both"/>
      </w:pPr>
      <w:r>
        <w:rPr>
          <w:rFonts w:ascii="Times New Roman"/>
          <w:b w:val="false"/>
          <w:i w:val="false"/>
          <w:color w:val="000000"/>
          <w:sz w:val="28"/>
        </w:rPr>
        <w:t xml:space="preserve">
      позицию с кодом ПЭ исключить; </w:t>
      </w:r>
    </w:p>
    <w:bookmarkEnd w:id="11"/>
    <w:bookmarkStart w:name="z19" w:id="12"/>
    <w:p>
      <w:pPr>
        <w:spacing w:after="0"/>
        <w:ind w:left="0"/>
        <w:jc w:val="both"/>
      </w:pPr>
      <w:r>
        <w:rPr>
          <w:rFonts w:ascii="Times New Roman"/>
          <w:b w:val="false"/>
          <w:i w:val="false"/>
          <w:color w:val="000000"/>
          <w:sz w:val="28"/>
        </w:rPr>
        <w:t xml:space="preserve">
      в позиции с кодом ВЛ слова "с 1 июня 2015 г. по 31 декабря 2016 г. включительно в объеме не более 300 тонн в 2015 году и не более 600 тонн в 2016 году" заменить словами "с 1 января по 31 декабря 2017 г. включительно в объеме не более 400 тонн", слова ", при условии предоставления в таможенные органы подтверждения целевого назначения ввозимого товара, выданного уполномоченным органом Республики Казахстан и содержащего сведения о количестве товара и организациях, осуществляющих поставку и ввоз такого товара" исключить; </w:t>
      </w:r>
    </w:p>
    <w:bookmarkEnd w:id="12"/>
    <w:bookmarkStart w:name="z20" w:id="13"/>
    <w:p>
      <w:pPr>
        <w:spacing w:after="0"/>
        <w:ind w:left="0"/>
        <w:jc w:val="both"/>
      </w:pPr>
      <w:r>
        <w:rPr>
          <w:rFonts w:ascii="Times New Roman"/>
          <w:b w:val="false"/>
          <w:i w:val="false"/>
          <w:color w:val="000000"/>
          <w:sz w:val="28"/>
        </w:rPr>
        <w:t xml:space="preserve">
      после позиции с кодом ЛЭ дополнить позицией следующего содержания: </w:t>
      </w:r>
    </w:p>
    <w:bookmarkEnd w:id="13"/>
    <w:tbl>
      <w:tblPr>
        <w:tblW w:w="0" w:type="auto"/>
        <w:tblCellSpacing w:w="0" w:type="auto"/>
        <w:tblBorders>
          <w:top w:val="none"/>
          <w:left w:val="none"/>
          <w:bottom w:val="none"/>
          <w:right w:val="none"/>
          <w:insideH w:val="none"/>
          <w:insideV w:val="none"/>
        </w:tblBorders>
      </w:tblPr>
      <w:tblGrid>
        <w:gridCol w:w="11774"/>
        <w:gridCol w:w="526"/>
      </w:tblGrid>
      <w:tr>
        <w:trPr>
          <w:trHeight w:val="30" w:hRule="atLeast"/>
        </w:trPr>
        <w:tc>
          <w:tcPr>
            <w:tcW w:w="11774" w:type="dxa"/>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"Освобождение от уплаты ввозной таможенной пошлины в отношении текстурированных нитей полипропиленовых, классифицируемых кодом 5402 34 000 0 ТН ВЭД ЕАЭС, предназначенных для производства ковров и ковровых изделий, ввозимых на территорию Республики Беларусь в период с 1 января по 31 декабря 2017 г. включительно в объеме не более 4 тыс. тонн</w:t>
            </w:r>
          </w:p>
          <w:bookmarkEnd w:id="14"/>
        </w:tc>
        <w:tc>
          <w:tcPr>
            <w:tcW w:w="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r>
    </w:tbl>
    <w:bookmarkStart w:name="z22" w:id="15"/>
    <w:p>
      <w:pPr>
        <w:spacing w:after="0"/>
        <w:ind w:left="0"/>
        <w:jc w:val="both"/>
      </w:pPr>
      <w:r>
        <w:rPr>
          <w:rFonts w:ascii="Times New Roman"/>
          <w:b w:val="false"/>
          <w:i w:val="false"/>
          <w:color w:val="000000"/>
          <w:sz w:val="28"/>
        </w:rPr>
        <w:t>
      б) в позициях с кодом ВТ пункта 3.1.2 подраздела 3.1, пункта 3.2.1 подраздела 3.2 и пункта 3.4.1 подраздела 3.4 код "ВТ" заменить кодом "ВР";</w:t>
      </w:r>
    </w:p>
    <w:bookmarkEnd w:id="15"/>
    <w:bookmarkStart w:name="z23" w:id="16"/>
    <w:p>
      <w:pPr>
        <w:spacing w:after="0"/>
        <w:ind w:left="0"/>
        <w:jc w:val="both"/>
      </w:pPr>
      <w:r>
        <w:rPr>
          <w:rFonts w:ascii="Times New Roman"/>
          <w:b w:val="false"/>
          <w:i w:val="false"/>
          <w:color w:val="000000"/>
          <w:sz w:val="28"/>
        </w:rPr>
        <w:t>
      в) в пункте 4.4.1 подраздела 4.4:</w:t>
      </w:r>
    </w:p>
    <w:bookmarkEnd w:id="16"/>
    <w:bookmarkStart w:name="z24" w:id="17"/>
    <w:p>
      <w:pPr>
        <w:spacing w:after="0"/>
        <w:ind w:left="0"/>
        <w:jc w:val="both"/>
      </w:pPr>
      <w:r>
        <w:rPr>
          <w:rFonts w:ascii="Times New Roman"/>
          <w:b w:val="false"/>
          <w:i w:val="false"/>
          <w:color w:val="000000"/>
          <w:sz w:val="28"/>
        </w:rPr>
        <w:t>
      позицию с кодом ПС изложить в следующей редакции:</w:t>
      </w:r>
    </w:p>
    <w:bookmarkEnd w:id="17"/>
    <w:tbl>
      <w:tblPr>
        <w:tblW w:w="0" w:type="auto"/>
        <w:tblCellSpacing w:w="0" w:type="auto"/>
        <w:tblBorders>
          <w:top w:val="none"/>
          <w:left w:val="none"/>
          <w:bottom w:val="none"/>
          <w:right w:val="none"/>
          <w:insideH w:val="none"/>
          <w:insideV w:val="none"/>
        </w:tblBorders>
      </w:tblPr>
      <w:tblGrid>
        <w:gridCol w:w="11688"/>
        <w:gridCol w:w="612"/>
      </w:tblGrid>
      <w:tr>
        <w:trPr>
          <w:trHeight w:val="30" w:hRule="atLeast"/>
        </w:trPr>
        <w:tc>
          <w:tcPr>
            <w:tcW w:w="11688" w:type="dxa"/>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"Освобождение от уплаты НДС в отношении ввозимых в Российскую Федерацию племенного крупного рогатого скота, племенных свиней, племенных овец, племенных коз, племенных лошадей, племенной птицы (племенного яйца), семени (спермы), полученного от племенных быков, племенных свиней, племенных баранов, племенных козлов, племенных жеребцов, эмбрионов, полученных от племенного крупного рогатого скота, племенных свиней, племенных овец, племенных коз, племенных лошадей</w:t>
            </w:r>
          </w:p>
          <w:bookmarkEnd w:id="18"/>
        </w:tc>
        <w:tc>
          <w:tcPr>
            <w:tcW w:w="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r>
    </w:tbl>
    <w:bookmarkStart w:name="z26" w:id="19"/>
    <w:p>
      <w:pPr>
        <w:spacing w:after="0"/>
        <w:ind w:left="0"/>
        <w:jc w:val="both"/>
      </w:pPr>
      <w:r>
        <w:rPr>
          <w:rFonts w:ascii="Times New Roman"/>
          <w:b w:val="false"/>
          <w:i w:val="false"/>
          <w:color w:val="000000"/>
          <w:sz w:val="28"/>
        </w:rPr>
        <w:t xml:space="preserve">
      позицию с кодом ПЖ исключить; </w:t>
      </w:r>
    </w:p>
    <w:bookmarkEnd w:id="19"/>
    <w:bookmarkStart w:name="z27" w:id="20"/>
    <w:p>
      <w:pPr>
        <w:spacing w:after="0"/>
        <w:ind w:left="0"/>
        <w:jc w:val="both"/>
      </w:pPr>
      <w:r>
        <w:rPr>
          <w:rFonts w:ascii="Times New Roman"/>
          <w:b w:val="false"/>
          <w:i w:val="false"/>
          <w:color w:val="000000"/>
          <w:sz w:val="28"/>
        </w:rPr>
        <w:t xml:space="preserve">
      г) подраздел 5.4 после позиции с кодом БА дополнить позициями следующего содержания: </w:t>
      </w:r>
    </w:p>
    <w:bookmarkEnd w:id="20"/>
    <w:tbl>
      <w:tblPr>
        <w:tblW w:w="0" w:type="auto"/>
        <w:tblCellSpacing w:w="0" w:type="auto"/>
        <w:tblBorders>
          <w:top w:val="none"/>
          <w:left w:val="none"/>
          <w:bottom w:val="none"/>
          <w:right w:val="none"/>
          <w:insideH w:val="none"/>
          <w:insideV w:val="none"/>
        </w:tblBorders>
      </w:tblPr>
      <w:tblGrid>
        <w:gridCol w:w="11842"/>
        <w:gridCol w:w="458"/>
      </w:tblGrid>
      <w:tr>
        <w:trPr>
          <w:trHeight w:val="30" w:hRule="atLeast"/>
        </w:trPr>
        <w:tc>
          <w:tcPr>
            <w:tcW w:w="11842" w:type="dxa"/>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"Освобождение от уплаты НДС в отношении товаров, ввозимых на территорию Республики Армения из третьих стран налогоплательщиками, имеющими статус уполномоченного экономического оператора, или группой резидентов – плательщиков налога на прибыль, реализующих программу, одобренную Правительством Республики Армения, в случае если указанные товары вывозятся из Республики Армения (в том числе в государства – члены Евразийского экономического союза) в течение 180 календарных дней со дня, следующего за днем ввоза указанных товаров</w:t>
            </w:r>
          </w:p>
          <w:bookmarkEnd w:id="21"/>
        </w:tc>
        <w:tc>
          <w:tcPr>
            <w:tcW w:w="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11842" w:type="dxa"/>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xml:space="preserve">
Освобождение от уплаты НДС в отношении товаров, ввозимых на территорию Республики Армения из третьих стран налогоплательщиками, имеющими статус уполномоченного экономического оператора, или группой резидентов – плательщиков налога на прибыль, реализующих программу, одобренную Правительством Республики Армения, в случае если товары, полученные (образовавшиеся) в результате операций по переработке указанных товаров (продукты переработки), вывозятся из Республики Армения (в том числе в государства – члены Евразийского экономического союза) в течение 180 календарных дней со дня, следующего за днем ввоза указанных товаров </w:t>
            </w:r>
          </w:p>
          <w:bookmarkEnd w:id="22"/>
        </w:tc>
        <w:tc>
          <w:tcPr>
            <w:tcW w:w="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w:t>
            </w:r>
          </w:p>
        </w:tc>
      </w:tr>
    </w:tbl>
    <w:bookmarkStart w:name="z30" w:id="23"/>
    <w:p>
      <w:pPr>
        <w:spacing w:after="0"/>
        <w:ind w:left="0"/>
        <w:jc w:val="both"/>
      </w:pPr>
      <w:r>
        <w:rPr>
          <w:rFonts w:ascii="Times New Roman"/>
          <w:b w:val="false"/>
          <w:i w:val="false"/>
          <w:color w:val="000000"/>
          <w:sz w:val="28"/>
        </w:rPr>
        <w:t>
      3. Раздел 9 классификатора видов документов и сведений, используемых при таможенном декларировании (</w:t>
      </w:r>
      <w:r>
        <w:rPr>
          <w:rFonts w:ascii="Times New Roman"/>
          <w:b w:val="false"/>
          <w:i w:val="false"/>
          <w:color w:val="000000"/>
          <w:sz w:val="28"/>
        </w:rPr>
        <w:t>Приложение 8</w:t>
      </w:r>
      <w:r>
        <w:rPr>
          <w:rFonts w:ascii="Times New Roman"/>
          <w:b w:val="false"/>
          <w:i w:val="false"/>
          <w:color w:val="000000"/>
          <w:sz w:val="28"/>
        </w:rPr>
        <w:t xml:space="preserve">), после позиции с кодом 09031 дополнить позицией следующего содержания: </w:t>
      </w:r>
    </w:p>
    <w:bookmarkEnd w:id="23"/>
    <w:tbl>
      <w:tblPr>
        <w:tblW w:w="0" w:type="auto"/>
        <w:tblCellSpacing w:w="0" w:type="auto"/>
        <w:tblBorders>
          <w:top w:val="none"/>
          <w:left w:val="none"/>
          <w:bottom w:val="none"/>
          <w:right w:val="none"/>
          <w:insideH w:val="none"/>
          <w:insideV w:val="none"/>
        </w:tblBorders>
      </w:tblPr>
      <w:tblGrid>
        <w:gridCol w:w="5991"/>
        <w:gridCol w:w="6309"/>
      </w:tblGrid>
      <w:tr>
        <w:trPr>
          <w:trHeight w:val="30" w:hRule="atLeast"/>
        </w:trPr>
        <w:tc>
          <w:tcPr>
            <w:tcW w:w="5991" w:type="dxa"/>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"09032</w:t>
            </w:r>
          </w:p>
          <w:bookmarkEnd w:id="24"/>
        </w:tc>
        <w:tc>
          <w:tcPr>
            <w:tcW w:w="6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сделках с древесиной (для Российской Федерации)".</w:t>
            </w:r>
          </w:p>
        </w:tc>
      </w:tr>
    </w:tbl>
    <w:bookmarkStart w:name="z32" w:id="25"/>
    <w:p>
      <w:pPr>
        <w:spacing w:after="0"/>
        <w:ind w:left="0"/>
        <w:jc w:val="both"/>
      </w:pPr>
      <w:r>
        <w:rPr>
          <w:rFonts w:ascii="Times New Roman"/>
          <w:b w:val="false"/>
          <w:i w:val="false"/>
          <w:color w:val="000000"/>
          <w:sz w:val="28"/>
        </w:rPr>
        <w:t>
      4. В классификаторе видов налогов, сборов и иных платежей, взимание которых возложено на таможенные органы (</w:t>
      </w:r>
      <w:r>
        <w:rPr>
          <w:rFonts w:ascii="Times New Roman"/>
          <w:b w:val="false"/>
          <w:i w:val="false"/>
          <w:color w:val="000000"/>
          <w:sz w:val="28"/>
        </w:rPr>
        <w:t>Приложение 9</w:t>
      </w:r>
      <w:r>
        <w:rPr>
          <w:rFonts w:ascii="Times New Roman"/>
          <w:b w:val="false"/>
          <w:i w:val="false"/>
          <w:color w:val="000000"/>
          <w:sz w:val="28"/>
        </w:rPr>
        <w:t xml:space="preserve">): </w:t>
      </w:r>
    </w:p>
    <w:bookmarkEnd w:id="25"/>
    <w:bookmarkStart w:name="z33" w:id="26"/>
    <w:p>
      <w:pPr>
        <w:spacing w:after="0"/>
        <w:ind w:left="0"/>
        <w:jc w:val="both"/>
      </w:pPr>
      <w:r>
        <w:rPr>
          <w:rFonts w:ascii="Times New Roman"/>
          <w:b w:val="false"/>
          <w:i w:val="false"/>
          <w:color w:val="000000"/>
          <w:sz w:val="28"/>
        </w:rPr>
        <w:t>
      а) в подразделе 2.4:</w:t>
      </w:r>
    </w:p>
    <w:bookmarkEnd w:id="26"/>
    <w:bookmarkStart w:name="z34" w:id="27"/>
    <w:p>
      <w:pPr>
        <w:spacing w:after="0"/>
        <w:ind w:left="0"/>
        <w:jc w:val="both"/>
      </w:pPr>
      <w:r>
        <w:rPr>
          <w:rFonts w:ascii="Times New Roman"/>
          <w:b w:val="false"/>
          <w:i w:val="false"/>
          <w:color w:val="000000"/>
          <w:sz w:val="28"/>
        </w:rPr>
        <w:t>
      позицию 2.4.16 исключить;</w:t>
      </w:r>
    </w:p>
    <w:bookmarkEnd w:id="27"/>
    <w:bookmarkStart w:name="z35" w:id="28"/>
    <w:p>
      <w:pPr>
        <w:spacing w:after="0"/>
        <w:ind w:left="0"/>
        <w:jc w:val="both"/>
      </w:pPr>
      <w:r>
        <w:rPr>
          <w:rFonts w:ascii="Times New Roman"/>
          <w:b w:val="false"/>
          <w:i w:val="false"/>
          <w:color w:val="000000"/>
          <w:sz w:val="28"/>
        </w:rPr>
        <w:t>
      дополнить позициями 2.4.18 – 2.4.20 следующего содержания:</w:t>
      </w:r>
    </w:p>
    <w:bookmarkEnd w:id="28"/>
    <w:tbl>
      <w:tblPr>
        <w:tblW w:w="0" w:type="auto"/>
        <w:tblCellSpacing w:w="0" w:type="auto"/>
        <w:tblBorders>
          <w:top w:val="none"/>
          <w:left w:val="none"/>
          <w:bottom w:val="none"/>
          <w:right w:val="none"/>
          <w:insideH w:val="none"/>
          <w:insideV w:val="none"/>
        </w:tblBorders>
      </w:tblPr>
      <w:tblGrid>
        <w:gridCol w:w="8390"/>
        <w:gridCol w:w="3910"/>
      </w:tblGrid>
      <w:tr>
        <w:trPr>
          <w:trHeight w:val="30" w:hRule="atLeast"/>
        </w:trPr>
        <w:tc>
          <w:tcPr>
            <w:tcW w:w="8390" w:type="dxa"/>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"2.4.18. Акциз на электронные системы доставки никотина</w:t>
            </w:r>
          </w:p>
          <w:bookmarkEnd w:id="29"/>
        </w:tc>
        <w:tc>
          <w:tcPr>
            <w:tcW w:w="3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8390" w:type="dxa"/>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2.4.19. Акциз на жидкости для электронных систем доставки никотина</w:t>
            </w:r>
          </w:p>
          <w:bookmarkEnd w:id="30"/>
        </w:tc>
        <w:tc>
          <w:tcPr>
            <w:tcW w:w="3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390" w:type="dxa"/>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xml:space="preserve">
2.4.20. Акциз на табак (табачные изделия), предназначенный для потребления путем нагревания </w:t>
            </w:r>
          </w:p>
          <w:bookmarkEnd w:id="31"/>
        </w:tc>
        <w:tc>
          <w:tcPr>
            <w:tcW w:w="3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bl>
    <w:bookmarkStart w:name="z39" w:id="32"/>
    <w:p>
      <w:pPr>
        <w:spacing w:after="0"/>
        <w:ind w:left="0"/>
        <w:jc w:val="both"/>
      </w:pPr>
      <w:r>
        <w:rPr>
          <w:rFonts w:ascii="Times New Roman"/>
          <w:b w:val="false"/>
          <w:i w:val="false"/>
          <w:color w:val="000000"/>
          <w:sz w:val="28"/>
        </w:rPr>
        <w:t>
      б) в подразделе 2.5:</w:t>
      </w:r>
    </w:p>
    <w:bookmarkEnd w:id="32"/>
    <w:bookmarkStart w:name="z40" w:id="33"/>
    <w:p>
      <w:pPr>
        <w:spacing w:after="0"/>
        <w:ind w:left="0"/>
        <w:jc w:val="both"/>
      </w:pPr>
      <w:r>
        <w:rPr>
          <w:rFonts w:ascii="Times New Roman"/>
          <w:b w:val="false"/>
          <w:i w:val="false"/>
          <w:color w:val="000000"/>
          <w:sz w:val="28"/>
        </w:rPr>
        <w:t>
      в пункте 2.5.1:</w:t>
      </w:r>
    </w:p>
    <w:bookmarkEnd w:id="33"/>
    <w:bookmarkStart w:name="z41" w:id="34"/>
    <w:p>
      <w:pPr>
        <w:spacing w:after="0"/>
        <w:ind w:left="0"/>
        <w:jc w:val="both"/>
      </w:pPr>
      <w:r>
        <w:rPr>
          <w:rFonts w:ascii="Times New Roman"/>
          <w:b w:val="false"/>
          <w:i w:val="false"/>
          <w:color w:val="000000"/>
          <w:sz w:val="28"/>
        </w:rPr>
        <w:t>
      позицию с кодом 4172 исключить;</w:t>
      </w:r>
    </w:p>
    <w:bookmarkEnd w:id="34"/>
    <w:bookmarkStart w:name="z42" w:id="35"/>
    <w:p>
      <w:pPr>
        <w:spacing w:after="0"/>
        <w:ind w:left="0"/>
        <w:jc w:val="both"/>
      </w:pPr>
      <w:r>
        <w:rPr>
          <w:rFonts w:ascii="Times New Roman"/>
          <w:b w:val="false"/>
          <w:i w:val="false"/>
          <w:color w:val="000000"/>
          <w:sz w:val="28"/>
        </w:rPr>
        <w:t>
      после позиции с кодом 4262 дополнить позициями следующего содержания:</w:t>
      </w:r>
    </w:p>
    <w:bookmarkEnd w:id="35"/>
    <w:tbl>
      <w:tblPr>
        <w:tblW w:w="0" w:type="auto"/>
        <w:tblCellSpacing w:w="0" w:type="auto"/>
        <w:tblBorders>
          <w:top w:val="none"/>
          <w:left w:val="none"/>
          <w:bottom w:val="none"/>
          <w:right w:val="none"/>
          <w:insideH w:val="none"/>
          <w:insideV w:val="none"/>
        </w:tblBorders>
      </w:tblPr>
      <w:tblGrid>
        <w:gridCol w:w="7518"/>
        <w:gridCol w:w="4782"/>
      </w:tblGrid>
      <w:tr>
        <w:trPr>
          <w:trHeight w:val="30" w:hRule="atLeast"/>
        </w:trPr>
        <w:tc>
          <w:tcPr>
            <w:tcW w:w="7518" w:type="dxa"/>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"Проценты за предоставление отсрочки уплаты акциза на электронные системы доставки никотина</w:t>
            </w:r>
          </w:p>
          <w:bookmarkEnd w:id="36"/>
        </w:tc>
        <w:tc>
          <w:tcPr>
            <w:tcW w:w="4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r>
      <w:tr>
        <w:trPr>
          <w:trHeight w:val="30" w:hRule="atLeast"/>
        </w:trPr>
        <w:tc>
          <w:tcPr>
            <w:tcW w:w="7518" w:type="dxa"/>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Проценты за предоставление отсрочки уплаты акциза на жидкости для электронных систем доставки никотина</w:t>
            </w:r>
          </w:p>
          <w:bookmarkEnd w:id="37"/>
        </w:tc>
        <w:tc>
          <w:tcPr>
            <w:tcW w:w="4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7518" w:type="dxa"/>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Проценты за предоставление отсрочки уплаты акциза на табак (табачные изделия), предназначенный для потребления путем нагревания</w:t>
            </w:r>
          </w:p>
          <w:bookmarkEnd w:id="38"/>
        </w:tc>
        <w:tc>
          <w:tcPr>
            <w:tcW w:w="4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r>
    </w:tbl>
    <w:bookmarkStart w:name="z46" w:id="39"/>
    <w:p>
      <w:pPr>
        <w:spacing w:after="0"/>
        <w:ind w:left="0"/>
        <w:jc w:val="both"/>
      </w:pPr>
      <w:r>
        <w:rPr>
          <w:rFonts w:ascii="Times New Roman"/>
          <w:b w:val="false"/>
          <w:i w:val="false"/>
          <w:color w:val="000000"/>
          <w:sz w:val="28"/>
        </w:rPr>
        <w:t>
      в пункте 2.5.2:</w:t>
      </w:r>
    </w:p>
    <w:bookmarkEnd w:id="39"/>
    <w:bookmarkStart w:name="z47" w:id="40"/>
    <w:p>
      <w:pPr>
        <w:spacing w:after="0"/>
        <w:ind w:left="0"/>
        <w:jc w:val="both"/>
      </w:pPr>
      <w:r>
        <w:rPr>
          <w:rFonts w:ascii="Times New Roman"/>
          <w:b w:val="false"/>
          <w:i w:val="false"/>
          <w:color w:val="000000"/>
          <w:sz w:val="28"/>
        </w:rPr>
        <w:t>
      позицию с кодом 4173 исключить;</w:t>
      </w:r>
    </w:p>
    <w:bookmarkEnd w:id="40"/>
    <w:bookmarkStart w:name="z48" w:id="41"/>
    <w:p>
      <w:pPr>
        <w:spacing w:after="0"/>
        <w:ind w:left="0"/>
        <w:jc w:val="both"/>
      </w:pPr>
      <w:r>
        <w:rPr>
          <w:rFonts w:ascii="Times New Roman"/>
          <w:b w:val="false"/>
          <w:i w:val="false"/>
          <w:color w:val="000000"/>
          <w:sz w:val="28"/>
        </w:rPr>
        <w:t>
      после позиции с кодом 4263 дополнить позициями следующего содержания:</w:t>
      </w:r>
    </w:p>
    <w:bookmarkEnd w:id="41"/>
    <w:tbl>
      <w:tblPr>
        <w:tblW w:w="0" w:type="auto"/>
        <w:tblCellSpacing w:w="0" w:type="auto"/>
        <w:tblBorders>
          <w:top w:val="none"/>
          <w:left w:val="none"/>
          <w:bottom w:val="none"/>
          <w:right w:val="none"/>
          <w:insideH w:val="none"/>
          <w:insideV w:val="none"/>
        </w:tblBorders>
      </w:tblPr>
      <w:tblGrid>
        <w:gridCol w:w="7518"/>
        <w:gridCol w:w="4782"/>
      </w:tblGrid>
      <w:tr>
        <w:trPr>
          <w:trHeight w:val="30" w:hRule="atLeast"/>
        </w:trPr>
        <w:tc>
          <w:tcPr>
            <w:tcW w:w="7518" w:type="dxa"/>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"Проценты за предоставление рассрочки уплаты акциза на электронные системы доставки никотина</w:t>
            </w:r>
          </w:p>
          <w:bookmarkEnd w:id="42"/>
        </w:tc>
        <w:tc>
          <w:tcPr>
            <w:tcW w:w="4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r>
      <w:tr>
        <w:trPr>
          <w:trHeight w:val="30" w:hRule="atLeast"/>
        </w:trPr>
        <w:tc>
          <w:tcPr>
            <w:tcW w:w="7518" w:type="dxa"/>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Проценты за предоставление рассрочки уплаты акциза на жидкости для электронных систем доставки никотина</w:t>
            </w:r>
          </w:p>
          <w:bookmarkEnd w:id="43"/>
        </w:tc>
        <w:tc>
          <w:tcPr>
            <w:tcW w:w="4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r>
      <w:tr>
        <w:trPr>
          <w:trHeight w:val="30" w:hRule="atLeast"/>
        </w:trPr>
        <w:tc>
          <w:tcPr>
            <w:tcW w:w="7518" w:type="dxa"/>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Проценты за предоставление рассрочки уплаты акциза на табак (табачные изделия), предназначенный для потребления путем нагревания</w:t>
            </w:r>
          </w:p>
          <w:bookmarkEnd w:id="44"/>
        </w:tc>
        <w:tc>
          <w:tcPr>
            <w:tcW w:w="4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bl>
    <w:bookmarkStart w:name="z52" w:id="45"/>
    <w:p>
      <w:pPr>
        <w:spacing w:after="0"/>
        <w:ind w:left="0"/>
        <w:jc w:val="both"/>
      </w:pPr>
      <w:r>
        <w:rPr>
          <w:rFonts w:ascii="Times New Roman"/>
          <w:b w:val="false"/>
          <w:i w:val="false"/>
          <w:color w:val="000000"/>
          <w:sz w:val="28"/>
        </w:rPr>
        <w:t>
      в) в подразделе 2.6:</w:t>
      </w:r>
    </w:p>
    <w:bookmarkEnd w:id="45"/>
    <w:bookmarkStart w:name="z53" w:id="46"/>
    <w:p>
      <w:pPr>
        <w:spacing w:after="0"/>
        <w:ind w:left="0"/>
        <w:jc w:val="both"/>
      </w:pPr>
      <w:r>
        <w:rPr>
          <w:rFonts w:ascii="Times New Roman"/>
          <w:b w:val="false"/>
          <w:i w:val="false"/>
          <w:color w:val="000000"/>
          <w:sz w:val="28"/>
        </w:rPr>
        <w:t xml:space="preserve">
      позицию с кодом 7024 &lt;3&gt; дополнить словами ", за исключением штрафов за нарушение валютного законодательства Российской Федерации и актов органов валютного регулирования, назначаемых таможенными органами, и штрафов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w:t>
      </w:r>
    </w:p>
    <w:bookmarkEnd w:id="46"/>
    <w:bookmarkStart w:name="z54" w:id="47"/>
    <w:p>
      <w:pPr>
        <w:spacing w:after="0"/>
        <w:ind w:left="0"/>
        <w:jc w:val="both"/>
      </w:pPr>
      <w:r>
        <w:rPr>
          <w:rFonts w:ascii="Times New Roman"/>
          <w:b w:val="false"/>
          <w:i w:val="false"/>
          <w:color w:val="000000"/>
          <w:sz w:val="28"/>
        </w:rPr>
        <w:t>
      дополнить позициями следующего содержания:</w:t>
      </w:r>
    </w:p>
    <w:bookmarkEnd w:id="47"/>
    <w:tbl>
      <w:tblPr>
        <w:tblW w:w="0" w:type="auto"/>
        <w:tblCellSpacing w:w="0" w:type="auto"/>
        <w:tblBorders>
          <w:top w:val="none"/>
          <w:left w:val="none"/>
          <w:bottom w:val="none"/>
          <w:right w:val="none"/>
          <w:insideH w:val="none"/>
          <w:insideV w:val="none"/>
        </w:tblBorders>
      </w:tblPr>
      <w:tblGrid>
        <w:gridCol w:w="9483"/>
        <w:gridCol w:w="2817"/>
      </w:tblGrid>
      <w:tr>
        <w:trPr>
          <w:trHeight w:val="30" w:hRule="atLeast"/>
        </w:trPr>
        <w:tc>
          <w:tcPr>
            <w:tcW w:w="9483" w:type="dxa"/>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"Штрафы за нарушение валютного законодательства Российской Федерации и актов органов валютного регулирования, назначаемые таможенными органами</w:t>
            </w:r>
          </w:p>
          <w:bookmarkEnd w:id="48"/>
        </w:tc>
        <w:tc>
          <w:tcPr>
            <w:tcW w:w="2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tc>
      </w:tr>
      <w:tr>
        <w:trPr>
          <w:trHeight w:val="30" w:hRule="atLeast"/>
        </w:trPr>
        <w:tc>
          <w:tcPr>
            <w:tcW w:w="9483" w:type="dxa"/>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xml:space="preserve">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w:t>
            </w:r>
          </w:p>
          <w:bookmarkEnd w:id="49"/>
        </w:tc>
        <w:tc>
          <w:tcPr>
            <w:tcW w:w="2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