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8de0" w14:textId="dc98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ткани марлевой по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сентября 2014 года №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Ткань марлевая, содержащая 85 мас.% или более хлопковых волокон, полотняного переплетения, нестерильная, не содержащая пропитки или покрытия фармацевтическими веществами, применяемая для изготовления бинтов, перевязочных материалов и медицинской марли и (или) предназначенная для использования в качестве перевязочного материала, не расфасованная в упаковку для розничной продажи, в соответствии с Основным правилом интерпретации Товарной номенклатуры внешнеэкономической деятельности 1 классифицируется в товарной позиции 5208 единой Товарной номенклатуры внешнеэкономической деятельности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