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f45c" w14:textId="b40f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29 августа 2025 года № 27-213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Кербулакского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курьирующего заместителя акима Кербулакского района (по согласованию).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29 августа 2025 года № 27-213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Кербулакского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Кербулакского района (далее –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Кербулакского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"Кербулакский районный отдел занятости и социальных программ";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–комиссия, создаваемая решением акима Кербулакского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подпунктом 2) статьи 13,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ветеранах"(далее – Закон), оказываются в порядке, определенном настоящими Правилами.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Международный день памяти жертв аварии на Чернобыльской атомной электростанции;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 в Великой Отечественной войне;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- День Конституции Республики Казахстан.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отнесения граждан к категории нуждающихся являются: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(пятнадцать)месячных расчетных показателей, 1 раз в год;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(пять) месячных расчетных показателей, ежемесячно;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 - 5) пункта 7 настоящих Правил;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1(один) рабочего дня направляют документы заявителя в участковую комиссию для проведения обследования материального положения лица (семьи)..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Участковая комиссия в течение 2 (двух)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(двух)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(одного)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(двух)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Кербулакского района на текущий финансовый год.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Кербулакского района;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- 3) настоящего пункта, прекращается со следующего месяца после наступления указанных обстоятельств.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