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aec9" w14:textId="02ea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Кажымукан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285/36-8.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402/53-8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Кажымукан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67 005,0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84 758,7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-5553,7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5 553,7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5 553,7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402/53-8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402/53-8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402/53-8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