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e434" w14:textId="fe2e4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об учреждении Института глобального зеленого роста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21 октября 2022 года № 147-VII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Института глобального зеленого роста, совершенное в Рио-де-Жанейро 20 июня 2012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О ратификации Соглашения об учреждении Института глобального зеленого роста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Ратифицировать Соглашение об учреждении Института глобального зеленого роста, совершенное в Рио-де-Жанейро 20 июня 2012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Неофициальный перевод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об учреждении Института глобального зеленого роста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настоящего Соглашения,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интеграция экономического роста и экологической устойчивости имеет большое значение для будущего человечества;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разработки и распространения новой модели экономического роста - "зеленого роста", которая одновременно ориентирована на экономические показатели и экологическую устойчивость, в конечном счете, поддерживая переход глобальной парадигмы к устойчивой экономике;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Поддерживая устойчивое развитие развивающихся стран и стран с переходной экономикой, включая самые бедные общины в этих странах и наименее развитых странах, посредством эффективных стратегий и планов зеленого роста, которые обеспечивают сокращение масштабов нищеты, создание рабочих мест и социальную интеграцию экологически устойчивым образом;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устойчивое развитие международного сообщества посредством диалога, коллективного обучения и сотрудничества между развитыми и развивающимися странами и государственным и частным секторами;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Внося вклад в достижение успеха процесса по устойчивому развитию Организации Объединенных Наций и достижению других согласованных на международном уровне целей, включая Цели Развития Тысячелетия, такие как искоренение крайней бедности и голода, обеспечение экологической устойчивости и развитие глобальных партнерских отношений в целях развития;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Добиваясь тесного сотрудничества с другими международными организациями и международными финансовыми институтами, которые занимаются продвижением зеленого роста;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Понимая, что разработка и внедрение зеленого роста требуют последовательного и долгосрочного подхода;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Отмечая, что для эффективного решения проблем изменения климата и реализации низкоуглеродных стратегий развития необходимо создать новый вид междисциплинарной и многосторонней международной организации; а также Желая создать Институт глобального зеленого роста в качестве международной организации;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  <w:r>
        <w:br/>
      </w:r>
      <w:r>
        <w:rPr>
          <w:rFonts w:ascii="Times New Roman"/>
          <w:b/>
          <w:i w:val="false"/>
          <w:color w:val="000000"/>
        </w:rPr>
        <w:t>Создание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учреждается Институт глобального зеленого роста как международная организация (далее именуемая "Институт").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Штаб-квартира Институт находится в Сеуле, Республика Корея.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  <w:r>
        <w:br/>
      </w:r>
      <w:r>
        <w:rPr>
          <w:rFonts w:ascii="Times New Roman"/>
          <w:b/>
          <w:i w:val="false"/>
          <w:color w:val="000000"/>
        </w:rPr>
        <w:t>Цели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будет содействовать устойчивому развитию развивающихся стран и стран с переходной экономикой, включая наименее развитые страны, путем: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поддержки и распространения новой парадигмы экономического роста: зеленого роста, который является сбалансированным достижением экономического роста и экологической устойчивости;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ориентации на ключевые аспекты экономических показателей и устойчивости, сокращения бедности, создания рабочих мест и социальной интеграции, а также обеспечения экологической устойчивости, такие как смягчение последствий изменения климата и адаптация, защита биоразнообразия и обеспечение доступа к недорогим, экологически чистым источникам энергии, чистой воде и земле;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создания и улучшения экономических, экологических и социальных условий развивающихся стран и стран с переходной экономикой на основе партнерских отношений между развитыми и развивающимися странами, а также государственным и частным секторами.</w:t>
      </w:r>
    </w:p>
    <w:bookmarkEnd w:id="21"/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  <w:r>
        <w:br/>
      </w:r>
      <w:r>
        <w:rPr>
          <w:rFonts w:ascii="Times New Roman"/>
          <w:b/>
          <w:i w:val="false"/>
          <w:color w:val="000000"/>
        </w:rPr>
        <w:t>Определения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Соглашения: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a. </w:t>
      </w:r>
      <w:r>
        <w:rPr>
          <w:rFonts w:ascii="Times New Roman"/>
          <w:b w:val="false"/>
          <w:i/>
          <w:color w:val="000000"/>
          <w:sz w:val="28"/>
        </w:rPr>
        <w:t>член-спонсор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членом Института, который внес многолетний финансовый взнос основного финансирования в размере не менее 15 миллионов долларов США за три года или 10 миллионов долларов США в течение первых двух лет. Уровень и характер взносов, необходимых для квалификации в качестве члена-спонсора, будут постоянно пересматриваться Ассамблеей и могут быть скорректированы Ассамблеей на основе консенсуса для поддержки роста Институт с течением времени;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b. </w:t>
      </w:r>
      <w:r>
        <w:rPr>
          <w:rFonts w:ascii="Times New Roman"/>
          <w:b w:val="false"/>
          <w:i/>
          <w:color w:val="000000"/>
          <w:sz w:val="28"/>
        </w:rPr>
        <w:t>член-участник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члена Института, который не является членом- спонсором в соответствии с пунктом 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c. </w:t>
      </w:r>
      <w:r>
        <w:rPr>
          <w:rFonts w:ascii="Times New Roman"/>
          <w:b w:val="false"/>
          <w:i/>
          <w:color w:val="000000"/>
          <w:sz w:val="28"/>
        </w:rPr>
        <w:t>присутствующие и участвующие в голосовании 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присутствующих и голосующих "за" или "против" членов. Кворумом для любого решения Ассамблеи или Совета является простое большинство членов соответствующего органа. Во избежание сомнений, государства-участники Соглашения и организации региональной интеграции согласно статье 5.3 учитываются для целей кворума на первой сессии Ассамблеи; а также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d. </w:t>
      </w:r>
      <w:r>
        <w:rPr>
          <w:rFonts w:ascii="Times New Roman"/>
          <w:b w:val="false"/>
          <w:i/>
          <w:color w:val="000000"/>
          <w:sz w:val="28"/>
        </w:rPr>
        <w:t>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означает орган, известный как Институт глобального зеленого роста, созданный в качестве некоммерческого фонда 16 июня 2010 года в Республике Корея.</w:t>
      </w:r>
    </w:p>
    <w:bookmarkEnd w:id="27"/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  <w:r>
        <w:br/>
      </w:r>
      <w:r>
        <w:rPr>
          <w:rFonts w:ascii="Times New Roman"/>
          <w:b/>
          <w:i w:val="false"/>
          <w:color w:val="000000"/>
        </w:rPr>
        <w:t>Виды деятельности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достижения своих целей Институт должен заниматься следующими видами деятельности: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оказание поддержки странам с переходной экономикой и развивающимся странам в области наращивания их потенциала в деле разработки и реализации планов зеленого роста на национальном, областном или местном уровне для содействия сокращению бедности, созданию рабочих мест и социальной интеграции;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проведение исследований в целях продвижения теории и практики зеленого роста, опираясь в частности на опыт правительств и отраслей;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содействие государственно-частному сотрудничеству в целях создания благоприятных условий для инвестирования, инноваций, производства и потребления при эффективном использовании ресурсов, а также распространения передового опыта;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распространение знаний, основанных на фактических данных, и повышение осведомленности общественности о "зеленом" росте и устойчивом развитии; а также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осуществление любой другой деятельности, имеющей отношение к целям Института.</w:t>
      </w:r>
    </w:p>
    <w:bookmarkEnd w:id="34"/>
    <w:bookmarkStart w:name="z4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  <w:r>
        <w:br/>
      </w:r>
      <w:r>
        <w:rPr>
          <w:rFonts w:ascii="Times New Roman"/>
          <w:b/>
          <w:i w:val="false"/>
          <w:color w:val="000000"/>
        </w:rPr>
        <w:t>Членство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организация или организация региональной интеграции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становится членом Института, подписав настоящее Соглашение. Членство в Институте открыто для любого государства-члена Организации Объединенных Наций или для организации региональной интеграции, которые поддерживают цели Института в соответствии со статьей 2.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Организация региональной интеграции - означает организацию, образованную суверенными государствами данного региона, которой его государства-члены передали компетенцию в отношении вопросов, регулируемых настоящим Соглашением.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Ни один член не несет ответственности в силу своего статуса или участия в Институте за действия, упущения или обязательства Института.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Государства-участники Соглашения и организации региональной интеграции, которые не представили документ о ратификации, принятии или одобрении Генеральному директору к моменту вступления в силу Соглашения, на первой сессии Ассамблеи имеют одинаковую правоспособность в качестве членов, включая право голоса, а также возможность быть избранными и стать членом Совета. Во избежание сомнений этот пункт не применяется в отношении последующих сессий Ассамблеи.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Любая организация региональной интеграции, которая становится стороной Соглашения, когда какой-либо из ее государств-членов не является такой стороной, связана всеми обязательствами в рамках Соглашения. В случае таких организаций, в которых одно или несколько государств-членов являются стороной Соглашения, организации и их государства-члены принимают решение о своих соответствующих обязанностях по исполнению обязательств в рамках настоящего Соглашения. Отдельное Соглашение об условиях членства должно обсуждаться до вступления региональных интеграционных организаций в члены и впоследствии утверждаться Ассамблеей.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своих документах о ратификации, принятии, утверждении или вступлении в члены организации региональной интеграции заявляют о пределах своей компетенции в отношении вопросов, регулируемых Соглашением. Эти организации также информируют депозитарий, который, в свою очередь, информирует стороны о любых существенных изменениях в пределах их компетенции.</w:t>
      </w:r>
    </w:p>
    <w:bookmarkEnd w:id="41"/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  <w:r>
        <w:br/>
      </w:r>
      <w:r>
        <w:rPr>
          <w:rFonts w:ascii="Times New Roman"/>
          <w:b/>
          <w:i w:val="false"/>
          <w:color w:val="000000"/>
        </w:rPr>
        <w:t>Органы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Институт имеет Ассамблею, Совет, Консультативный комитет и Секретариат.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Могут создаваться филиалы или другие вспомогательные органы Института, если Ассамблея примет соответствующее решение для поддержки своей деятельности по мере необходимости.</w:t>
      </w:r>
    </w:p>
    <w:bookmarkEnd w:id="44"/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  <w:r>
        <w:br/>
      </w:r>
      <w:r>
        <w:rPr>
          <w:rFonts w:ascii="Times New Roman"/>
          <w:b/>
          <w:i w:val="false"/>
          <w:color w:val="000000"/>
        </w:rPr>
        <w:t>Ассамблея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Ассамблея является высшим органом Института и состоит из членов.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Ассамблея собирается один раз в два года на очередных сессиях или в соответствии с другим решением Ассамблеи. Внеочередная сессия Ассамблеи созывается по инициативе одной трети ее членов. Сессии Ассамблеи проводятся в штаб-квартире Института, если Ассамблея не примет иного решения.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Ассамблея принимает свои правила процедуры на основе консенсуса на своем первом заседании. Во избежание сомнений настоящее Соглашение имеет преимущественную силу в отношении любого несоответствия между настоящим Соглашением и правилами процедуры.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Ассамблея может предоставлять статус наблюдателя негосударственным организациям, таким как межправительственные организации, частные компании, научно-исследовательские институты и неправительственные организации (НПО) на основе критериев, согласованных Ассамблеей. Представители со статусом наблюдателя могут участвовать в обсуждениях на Ассамблее, но не имеют права голоса на заседаниях Ассамблеи. Дополнительные положения, касающиеся участия наблюдателей в Ассамблее, могут быть предусмотрены в правилах процедуры, упомянутых в пункте 3.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 Ассамблеи включают: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избрание членов Совета в соответствии со статьей 8.2 и учет принципа ротации;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назначение Генерального директора, кандидатура которого выдвигается Советом;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рассмотрение и принятие поправок к настоящему Соглашению в соответствии со статьей 24;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консультирование по общему направлению работы Института;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обзор прогресса в достижении целей Института;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получение отчетов Секретариата по стратегическим, оперативным и финансовым вопросам; а также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g. руководящие указания в части партнерских отношений и связей с другими международными органами в соответствии со статьей 16.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Каждый член имеет право на один голос.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Члены, являющиеся организациями региональной интеграции, в вопросах, за которые они отвечают в соответствии со Статьями 5.4 и 5.5, реализуют свое право голоса с количеством голосов, равным числу их государств-членов, являющихся сторонами Соглашения. Условия реализации прав членства должны быть включены в отдельное Соглашение, о котором говорится в статье 5.4, которое должно быть согласовано до вступления региональных интеграционных организаций в члены.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Ассамблея прилагает все усилия для того, чтобы решения принимались на основе консенсуса. Если все усилия по достижению консенсуса исчерпаны, и консенсуса достичь не удалось, по просьбе Председателя решения, в качестве крайней меры, принимаются простым большинством присутствующих и участвующих в голосовании членов, за исключением случаев, предусмотренных настоящим Соглашением. Кроме того, для принятия решений требуется большинство присутствующих и участвующих в голосовании членов-спонсоров, а также большинство присутствующих и участвующих в голосовании членов- участников. Во избежание сомнений решения могут приниматься письменной процедурой между заседаниями Ассамблеи.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Ассамблея избирает одного Председателя и двух заместителей Председателя сроком на два года.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при поддержке заместителей Председателя председательствует на Ассамблее и исполняет обязанности, возложенные на него.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отвечает перед Ассамблеей, пока проходит заседание.</w:t>
      </w:r>
    </w:p>
    <w:bookmarkEnd w:id="63"/>
    <w:bookmarkStart w:name="z7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  <w:r>
        <w:br/>
      </w:r>
      <w:r>
        <w:rPr>
          <w:rFonts w:ascii="Times New Roman"/>
          <w:b/>
          <w:i w:val="false"/>
          <w:color w:val="000000"/>
        </w:rPr>
        <w:t>Совет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Совет выступает в качестве исполнительного органа Института и под руководством Ассамблеи несет ответственность за руководство деятельностью Института.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состав Совета входит не более семнадцати членов, как предусмотрено ниже: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пять членов-спонсоров, избранных Ассамблеей;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пять членов-участников, избранных Ассамблеей;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пять экспертов или негосударственных субъектов, которые могут внести существенный вклад в достижение целей Института, назначенных Советом;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представитель принимающей страны, которая будет иметь постоянное место в Совете; и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Генеральный директор без права голоса.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Члены Совета, указанные в пунктах 2 а, b и с, исполняют свои обязанности в течение двух лет, за исключением случаев, предусмотренных в пункте 4.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Ассамблея обеспечивает, чтобы около половины первоначальных членов Совета, избранных в соответствии с пунктом 2 а, b и с, избирались на первоначальный срок на один год в целях обеспечения преемственности членства в Совете.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Функции Совета под руководством Ассамблеи включают: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выдвижение кандидатуры Генерального Директора для назначения Ассамблеей;</w:t>
      </w:r>
    </w:p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одобрение стратегии Института и обзор результатов, структуры мониторинга и оценки;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одобрение годовой рабочей программы и бюджета;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утверждение финансовой отчетности, прошедшей аудит;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одобрение приема новых членов в Консультативный комитет в соответствии со статьей 9.2;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утверждение критериев отбора страновых программ, которые должны соответствовать задачам Института и основываться, помимо прочего, на объективных критериях;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g. утверждение членов подкомитетов Совета; и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h. исполнение других функций, делегированных Ассамблеей или предусмотренных в других частях настоящего Соглашения.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Каждый член Совета, кроме Генерального директора, имеет право на один голос.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Совет прилагает все усилия для принятия решений на основе консенсуса. Если все усилия, направленные на достижение консенсуса, исчерпаны, а консенсуса не достигнуто, по просьбе Председателя решения, в качестве крайней меры, принимаются простым большинством присутствующих и участвующих в голосовании членов, за исключением случаев, когда настоящим Соглашением предусмотрено иное. Кроме того, для принятия решений требуется большинство присутствующих и участвующих в голосовании членов-спонсоров, а также большинство присутствующих и участвующих в голосовании членов- участников. Во избежание сомнений решения могут приниматься письменной процедурой между заседаниями Совета.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Совет принимает свои правила процедуры на основе консенсуса на своем первом заседании.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Совет избирает Председателя и двух заместителей Председателя на двухлетний срок.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при поддержке заместителей Председателя председательствует в Совете и исполняет обязанности, возложенные на него.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Председатель отвечает перед Советом, пока проходит заседание.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эффективной координации и функционирования Совет может создавать подкомитеты, в том числе, по мере необходимости, Подкомитет по содействию, Подкомитет по человеческим ресурсам, Подкомитет по программе и Подкомитет по аудиту и финансам. Подкомитет по аудиту и финансам работает под председательством члена-спонсора.</w:t>
      </w:r>
    </w:p>
    <w:bookmarkEnd w:id="88"/>
    <w:bookmarkStart w:name="z9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  <w:r>
        <w:br/>
      </w:r>
      <w:r>
        <w:rPr>
          <w:rFonts w:ascii="Times New Roman"/>
          <w:b/>
          <w:i w:val="false"/>
          <w:color w:val="000000"/>
        </w:rPr>
        <w:t>Консультативный комитет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Консультативный комитет в качестве консультативного и совещательного органа Института играет ключевую роль в том, чтобы: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служить форумом для сотрудничества между государственным и частным сектором в области зеленого роста; и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осуществлять консультирование Совета по вопросам стратегии и деятельности Института, в том числе в отношении любого взаимовыгодного взаимодействия и связей между Институтом и другими субъектами, которые могут быть реализованы в соответствии с положениями статьи 16.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Консультативный комитет состоит из соответствующих ведущих экспертов и негосударственных субъектов. Заявки на членство в Консультативном комитете подаются Генеральному директору в письменной форме и утверждаются Советом в соответствии со статьей 8.5 е.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Консультативный комитет проводит очередное заседание один раз в год, если не будет принято иное решение.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Консультативный комитет принимает свои правила процедуры и может избрать Председателя и заместителя Председателя.</w:t>
      </w:r>
    </w:p>
    <w:bookmarkEnd w:id="95"/>
    <w:bookmarkStart w:name="z10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  <w:r>
        <w:br/>
      </w:r>
      <w:r>
        <w:rPr>
          <w:rFonts w:ascii="Times New Roman"/>
          <w:b/>
          <w:i w:val="false"/>
          <w:color w:val="000000"/>
        </w:rPr>
        <w:t>Секретариат и Генеральный директор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Секретариат под руководством Совета и Ассамблеи является основным рабочим органом Института и возглавляется Генеральным директором.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Кандидатура Генерального директора выдвигается Советом и назначается Ассамблеей. Генеральный директор может участвовать в заседаниях Совета и Ассамблеи, но не должен голосовать на таких заседаниях.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Генеральный директор назначается на четырехлетний срок и может быть повторно назначен на следующий срок.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Кроме любых функций, возложенных на Генерального директора в других частях настоящего Соглашения или Советом или Ассамблеей, время от времени Генеральный директор под руководством Совета и Ассамблеи должен: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осуществлять стратегическое руководство Институтом;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составлять все необходимые рабочие и финансовые документы;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отчитываться о реализации деятельности Института и доводить до сведения Совета любой вопрос, который, по его мнению, может влиять на достижение целей Института;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исполнять указания Ассамблеи и Совета; а также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представлять Институт на внешнем уровне и устанавливать тесные связи с членами и другими заинтересованными сторонами.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Секретариат подчиняется Генеральному директору и, помимо прочего, поддерживает Генерального директора при выполнении функций, перечисленных в пункте 4, и основных видов деятельности Института.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исполнении своих обязанностей Генеральный директор и сотрудники Секретариата не должны запрашивать и получать инструкции от какого-либо государства или от какого-либо органа, внешнего по отношению к Институту. Они должны воздерживаться от любых действий, которые могут негативно отразиться на их позиции в качестве международных должностных лиц.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Генеральный директор назначает сотрудников Секретариата в соответствии с положениями о персонале, утвержденными Советом. При наборе и найме персонала с учетом принципа гендерного равенства должны приниматься во внимание эффективность, компетентность, заслуги и добросовестность.</w:t>
      </w:r>
    </w:p>
    <w:bookmarkEnd w:id="108"/>
    <w:bookmarkStart w:name="z11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  <w:r>
        <w:br/>
      </w:r>
      <w:r>
        <w:rPr>
          <w:rFonts w:ascii="Times New Roman"/>
          <w:b/>
          <w:i w:val="false"/>
          <w:color w:val="000000"/>
        </w:rPr>
        <w:t>Рабочий язык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языком Института является английский язык.</w:t>
      </w:r>
    </w:p>
    <w:bookmarkEnd w:id="110"/>
    <w:bookmarkStart w:name="z12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  <w:r>
        <w:br/>
      </w:r>
      <w:r>
        <w:rPr>
          <w:rFonts w:ascii="Times New Roman"/>
          <w:b/>
          <w:i w:val="false"/>
          <w:color w:val="000000"/>
        </w:rPr>
        <w:t>Финансы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Институт получает свои финансовые ресурсы посредством: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добровольных взносов членов;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добровольных взносов неправительственных источников;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за счет продажи публикаций и иного дохода;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процентный доход от трастов; а также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из любых других источников в соответствии с финансовыми правилами, которые будут приняты Ассамблеей на основе консенсуса.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Членам предлагается поддерживать Институт и обеспечивать его финансовую стабильность за счет добровольного ежегодного взноса основного финансирования, активного участия в его деятельности или другими соответствующими средствами.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содействия финансовой прозрачности на ежегодной основе независимым внешним аудитором, назначаемым Советом, проводится финансовый аудит деятельности Института и такой аудит проводится в соответствии с международными аудиторскими стандартами.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Прошедшие аудит финансовые отчеты предоставляются странам-членам как можно скорее после закрытия каждого финансового года, но не позднее чем через шесть месяцев после этой даты, и должны рассматриваться на предмет утверждения Советом на его следующем заседании по мере необходимости.</w:t>
      </w:r>
    </w:p>
    <w:bookmarkEnd w:id="120"/>
    <w:bookmarkStart w:name="z13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  <w:r>
        <w:br/>
      </w:r>
      <w:r>
        <w:rPr>
          <w:rFonts w:ascii="Times New Roman"/>
          <w:b/>
          <w:i w:val="false"/>
          <w:color w:val="000000"/>
        </w:rPr>
        <w:t>Раскрытие информации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 Института должны разработать комплексную политику раскрытия информации, которая обеспечивает прозрачность в работе Института, в том числе в отношении: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обсуждений, решений и документов, которые были рассмотрены и приняты Ассамблеей;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критериев, на основе которых негосударственным субъектам предоставляется статус наблюдателя;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обсуждений, решений и соответствующих документов в Совете;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d. критериев, на основе которых в Совет избираются эксперты и негосударственные субъекты;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e. критериев и методологии отбора страновых программ;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f. критериев, на основе которых утверждаются члены Консультативного комитета;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g. годовых финансовых отчетов Института, прошедших аудиторскую проверку.</w:t>
      </w:r>
    </w:p>
    <w:bookmarkEnd w:id="129"/>
    <w:bookmarkStart w:name="z13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  <w:r>
        <w:br/>
      </w:r>
      <w:r>
        <w:rPr>
          <w:rFonts w:ascii="Times New Roman"/>
          <w:b/>
          <w:i w:val="false"/>
          <w:color w:val="000000"/>
        </w:rPr>
        <w:t>Правосубъектность и правоспособность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обладает правосубъектностью и правоспособностью: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a. заключать контракты;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b. приобретать и распоряжаться недвижимым и движимым имуществом;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c. инициировать и защищать себя, в ходе судебного разбирательства.</w:t>
      </w:r>
    </w:p>
    <w:bookmarkEnd w:id="134"/>
    <w:bookmarkStart w:name="z14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  <w:r>
        <w:br/>
      </w:r>
      <w:r>
        <w:rPr>
          <w:rFonts w:ascii="Times New Roman"/>
          <w:b/>
          <w:i w:val="false"/>
          <w:color w:val="000000"/>
        </w:rPr>
        <w:t>Привилегии и иммунитеты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Институт может пользоваться такими привилегиями и иммунитетами в том государстве-члене, в котором он находится и может добиваться таких привилегий и иммунитетов в других странах-членах, которые могут оказаться необходимыми и подходящими для надлежащего функционирования Института на территории государств-членов, с надлежащим учетом таких привилегий и иммунитетов, которые обычно предоставляются аналогичным типам международной организации. Такие привилегии и иммунитеты должны быть указаны в отдельном Соглашении, которое может быть заключено между членами или между Институтом и отдельным членом.</w:t>
      </w:r>
    </w:p>
    <w:bookmarkEnd w:id="136"/>
    <w:bookmarkStart w:name="z14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  <w:r>
        <w:br/>
      </w:r>
      <w:r>
        <w:rPr>
          <w:rFonts w:ascii="Times New Roman"/>
          <w:b/>
          <w:i w:val="false"/>
          <w:color w:val="000000"/>
        </w:rPr>
        <w:t>Взаимовыгодное сотрудничество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Институт может устанавливать отношения сотрудничества с другими организациями, включая международные, межправительственные и неправительственные организации, с намерением достижения целей Института.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Институт может также предложить организациям, с которыми он имеет сходные цели в области зеленого роста, вступить в стратегическое партнерство для взаимного сотрудничества на среднесрочной или долгосрочной основе.</w:t>
      </w:r>
    </w:p>
    <w:bookmarkEnd w:id="139"/>
    <w:bookmarkStart w:name="z149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  <w:r>
        <w:br/>
      </w:r>
      <w:r>
        <w:rPr>
          <w:rFonts w:ascii="Times New Roman"/>
          <w:b/>
          <w:i w:val="false"/>
          <w:color w:val="000000"/>
        </w:rPr>
        <w:t>Переходные положения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 момента создания Секретариата Института функции Секретариата будет выполнять Организация. Исполнительный директор Организации будет исполнять функции Генерального директора Института до тех пор, пока Ассамблея не назначит Генерального директора в соответствии со статьей 7.5 b.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После вступления в силу настоящего Соглашения права, обязанности, обязательства, существующие филиалы/региональные офисы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имущество Организации должны быть переданы Институту в соответствии с любыми необходимыми процессами этого органа.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Правила, положения, постановления, процедуры и практика Организации применяются к Институту до тех пор, пока Ассамблея, Совет или Генеральный директор не примут иного решения, и только в той мере, в какой они не противоречат настоящему Соглашению или любым правилам, положениям, постановлениям, процедурам и практике, принятыми Ассамблеей или Советом.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 тех пор, пока достаточное количество государств и организаций региональной интеграции не станут участниками настоящего Соглашения, каждая цифра, указанная в соответствующих подпунктах a-с статьи 8.2, как требование в отношении числа членов Совета, может применяться гибко в соответствии с решением Ассамблеи.</w:t>
      </w:r>
    </w:p>
    <w:bookmarkEnd w:id="144"/>
    <w:bookmarkStart w:name="z154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  <w:r>
        <w:br/>
      </w:r>
      <w:r>
        <w:rPr>
          <w:rFonts w:ascii="Times New Roman"/>
          <w:b/>
          <w:i w:val="false"/>
          <w:color w:val="000000"/>
        </w:rPr>
        <w:t>Депозитарий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Генеральный директор Секретариата.</w:t>
      </w:r>
    </w:p>
    <w:bookmarkEnd w:id="146"/>
    <w:bookmarkStart w:name="z156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  <w:r>
        <w:br/>
      </w:r>
      <w:r>
        <w:rPr>
          <w:rFonts w:ascii="Times New Roman"/>
          <w:b/>
          <w:i w:val="false"/>
          <w:color w:val="000000"/>
        </w:rPr>
        <w:t>Подписание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открывается для подписания в Рио-де-Жанейро в Бразилии по состоянию на 20 июня 2012 года и должно оставаться открытым для подписания в течение двенадцати месяцев.</w:t>
      </w:r>
    </w:p>
    <w:bookmarkEnd w:id="148"/>
    <w:bookmarkStart w:name="z158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  <w:r>
        <w:br/>
      </w:r>
      <w:r>
        <w:rPr>
          <w:rFonts w:ascii="Times New Roman"/>
          <w:b/>
          <w:i w:val="false"/>
          <w:color w:val="000000"/>
        </w:rPr>
        <w:t>Ратификация, принятие и утверждение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подлежит ратификации, принятию или утверждению подписавшими его государствами и организациями региональной интеграции.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о ратификации, принятии или утверждении сдаются на хранение депозитарию.</w:t>
      </w:r>
    </w:p>
    <w:bookmarkEnd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По вопросу передачи региональных офисов Института будут необходимы консультации с правительствами Дании и Объединенных Арабских Эмиратов.</w:t>
      </w:r>
    </w:p>
    <w:bookmarkEnd w:id="152"/>
    <w:bookmarkStart w:name="z162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  <w:r>
        <w:br/>
      </w:r>
      <w:r>
        <w:rPr>
          <w:rFonts w:ascii="Times New Roman"/>
          <w:b/>
          <w:i w:val="false"/>
          <w:color w:val="000000"/>
        </w:rPr>
        <w:t>Присоединение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открыто для вступления любого государства или организации региональной интеграции, которая не подписала Соглашение.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Документы о присоединении сдаются на хранение Депозитарию.</w:t>
      </w:r>
    </w:p>
    <w:bookmarkEnd w:id="155"/>
    <w:bookmarkStart w:name="z165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  <w:r>
        <w:br/>
      </w:r>
      <w:r>
        <w:rPr>
          <w:rFonts w:ascii="Times New Roman"/>
          <w:b/>
          <w:i w:val="false"/>
          <w:color w:val="000000"/>
        </w:rPr>
        <w:t>Вступление в силу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Соглашение вступает в силу на тридцатый день после сдачи на хранение третьего документа о ратификации, принятии, утверждении или присоединении.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каждого государства или региональной интеграционной организации, которая ратифицирует, принимает, утверждает или присоединяется к настоящему Соглашению после вступления в силу, настоящее Соглашение вступает в силу на тридцатый день после сдачи на хранение соответствующего документа.</w:t>
      </w:r>
    </w:p>
    <w:bookmarkEnd w:id="158"/>
    <w:bookmarkStart w:name="z168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  <w:r>
        <w:br/>
      </w:r>
      <w:r>
        <w:rPr>
          <w:rFonts w:ascii="Times New Roman"/>
          <w:b/>
          <w:i w:val="false"/>
          <w:color w:val="000000"/>
        </w:rPr>
        <w:t>Оговорки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Никакие оговорки к Соглашению не допускаются.</w:t>
      </w:r>
    </w:p>
    <w:bookmarkEnd w:id="160"/>
    <w:bookmarkStart w:name="z170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  <w:r>
        <w:br/>
      </w:r>
      <w:r>
        <w:rPr>
          <w:rFonts w:ascii="Times New Roman"/>
          <w:b/>
          <w:i w:val="false"/>
          <w:color w:val="000000"/>
        </w:rPr>
        <w:t>Поправки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Любая Сторона настоящего Соглашения может предложить поправку к настоящему Соглашению, подав такое предложение Генеральному директору Секретариата. Генеральный директор доводит до сведения всех членов Института предлагаемую поправку не менее чем за девяносто дней до ее рассмотрения Ассамблеей.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Поправка к настоящему Соглашению вступает в силу для тех сторон, которые ее приняли, на девяностый день после сдачи на хранение документа о принятии не менее чем тремя четвертями сторон настоящего Соглашения, если иное не указано в такой поправке, после принятия Ассамблеей. Кроме того, для вступления в силу потребуются инструменты принятия трех четвертей членов- спонсоров, а также трех четвертей членов-участников.</w:t>
      </w:r>
    </w:p>
    <w:bookmarkEnd w:id="163"/>
    <w:bookmarkStart w:name="z173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  <w:r>
        <w:br/>
      </w:r>
      <w:r>
        <w:rPr>
          <w:rFonts w:ascii="Times New Roman"/>
          <w:b/>
          <w:i w:val="false"/>
          <w:color w:val="000000"/>
        </w:rPr>
        <w:t>Выход из Соглашения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сторона может выйти из настоящего Соглашения путем письменного уведомления о своем намерении выйти из настоящего Соглашения. Такой выход вступает в силу через шесть месяцев после даты получения уведомления Генеральным директором Секретариата.</w:t>
      </w:r>
    </w:p>
    <w:bookmarkEnd w:id="165"/>
    <w:bookmarkStart w:name="z175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  <w:r>
        <w:br/>
      </w:r>
      <w:r>
        <w:rPr>
          <w:rFonts w:ascii="Times New Roman"/>
          <w:b/>
          <w:i w:val="false"/>
          <w:color w:val="000000"/>
        </w:rPr>
        <w:t>Толкование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Любой вопрос толкования положений настоящего Соглашения, возникающий между любым членом и Институтом или между любыми членами Института, выносится Председателю Ассамблеи для принятия решения Ассамблеей. Ассамблея прилагает все усилия для принятия решения на основе консенсуса. Если все усилия по достижению консенсуса исчерпаны, и консенсуса не достигнуто, такие решения принимаются в качестве крайней меры тремя четвертями присутствующих и участвующих в голосовании членов. Кроме того, для принятия таких решений требуются три четверти присутствующих и участвующих в голосовании членов-спонсоров, а также три четверти присутствующих и участвующих в голосовании членов-участников. Настоящее Соглашение, включая вышеупомянутые решения, толкуется в соответствии с обычными правилами толкования международного публичного права, включая Венскую конвенцию о праве международных договоров, принятую в 1969 году.</w:t>
      </w:r>
    </w:p>
    <w:bookmarkEnd w:id="167"/>
    <w:bookmarkStart w:name="z177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  <w:r>
        <w:br/>
      </w:r>
      <w:r>
        <w:rPr>
          <w:rFonts w:ascii="Times New Roman"/>
          <w:b/>
          <w:i w:val="false"/>
          <w:color w:val="000000"/>
        </w:rPr>
        <w:t>Консультации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Любые члены Института могут в письменной форме запросить консультации с Генеральным директором Института или с другими странами- членами по любому вопросу реализации, применения или действия настоящего Соглашения.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Стороны таких консультаций прилагают все усилия для достижения взаимосогласованного решения этого вопроса.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Консультации в соответствии с настоящей статьей не могут быть раскрыты какой-либо другой стороне, если не согласовано иное, и не наносят ущерба праву члена поднять вопрос на Ассамблее.</w:t>
      </w:r>
    </w:p>
    <w:bookmarkEnd w:id="171"/>
    <w:bookmarkStart w:name="z181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28</w:t>
      </w:r>
      <w:r>
        <w:br/>
      </w:r>
      <w:r>
        <w:rPr>
          <w:rFonts w:ascii="Times New Roman"/>
          <w:b/>
          <w:i w:val="false"/>
          <w:color w:val="000000"/>
        </w:rPr>
        <w:t>Прекращение действия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Действие настоящего Соглашения может быть прекращено только путем принятия решения всеми странами-членами на Ассамблее на основе консенсуса.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Любое решение, принятое в соответствии с пунктом 1, не вступает в силу до истечения двенадцати месяцев, если Ассамблея не примет иного решения на основе консенсуса.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Прекращение действия настоящего Соглашения не влияет на реализацию какого-либо проекта или программы, осуществляемых в соответствии с настоящим Соглашением и не полностью выполненных в момент расторжения настоящего Соглашения, если только консенсусом, достигнутым на Ассамблее, не будет принято иное решение.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После прекращения действия Ассамблея может на основе консенсуса согласиться передать имущество и активы Института одному или нескольким международным органам, которые имеют те же или практически одинаковые с Институтом цели, изложенные в статье 2. Имущество и активы Института могут быть перераспределены среди членов иным образом в соответствии с любой процедурой, согласованной Ассамблеей.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УДОСТОВЕРЕНИЕ ЧЕГО нижеподписавшиеся представители, должным образом на то уполномоченные соответствующими правительствами, подписали настоящее Соглашение.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Рио-де-Жанейро, двадцатого июня, две тысячи двенадцатого года, на английском языке.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Австралия;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Королевство Камбоджа;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Коста-Рика;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Королевство Дания;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Федеративная Демократическая Республика Эфиопия;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Гайана;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Кирибати;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Королевство Норвегия;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Независимое Государство Папуа и Новая Гвинея;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Парагвай;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Государство Катар;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Корея;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Объединенные Арабские Эмираты;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Соединенное Королевство Великобритании и Северной Ирландии;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Социалистическая Республика Вьетнам;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Индонезия;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Мексиканские Соединенные Штаты;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Монголия;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Руанда.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 ПОТВЕРЖДАЮ, что вышепериведенный документ является подлинной и полной копией Соглашения о создании Института глобального зеленого роста, подписанного в Рио-де-Жанейро двадцатого июня две тысячи двенадцатого года на английском языке.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ПОТВЕРЖДЕНИИ ЧЕГО Я, Кристобаль Аграванте, юрисконсульт Института глобального зеленого роста, настоящим ставлю свое имя и официальную печать Института глобального зеленого роста на седьмой день февраля две тысячи двадцатого года в Сеуле.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bookmarkStart w:name="z209" w:id="200"/>
      <w:r>
        <w:rPr>
          <w:rFonts w:ascii="Times New Roman"/>
          <w:b w:val="false"/>
          <w:i w:val="false"/>
          <w:color w:val="000000"/>
          <w:sz w:val="28"/>
        </w:rPr>
        <w:t>
      Кристобаль Аграванте</w:t>
      </w:r>
    </w:p>
    <w:bookmarkEnd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Юрисконсульт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Института глобального зеленого роста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