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542e" w14:textId="fc15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2; ст. 19, 20; N 3, ст. 22; N 5-6, ст. 31; N 8, ст. 45;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237-1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237-1. Нарушение требований законодательного акта Республики Казахстан о долевом участии в жилищном строительстве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застройщиком требований законодательного акта Республики Казахстан о долевом участии в жилищном строительстве к содержанию информации о застройщике и об объекте строительства, а также порядка ее распространения либо распространение застройщиком неточной, неполной или вводящей в заблуждение информации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от трехсот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Непредставление застройщиком уполномоченному органу сведений и отчетности, предусмотренных законодательными актами Республики Казахстан, либо представление им недостоверных сведений и отчетности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от трехсот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после цифр "237" дополнить цифрами ", 237-1";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сорок пятый подпункта 1) части первой статьи 636 после цифр "236," дополнить цифрами "237-1,".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2006 г.,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подпунктом 30-1)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деятельность по организации строительства жилых зданий за счет привлечения денег физических и юридических лиц для долевого участия в жилищном строительстве;".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декабря 2003 г. "О рекламе" (Ведомости Парламента Республики Казахстан, 2003 г., N 24, ст. 174):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14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реклама жилых зданий до выдачи разрешения на строительство нулевого цикла, а также в период приостановления действия лицензии застройщика уполномоченным органом.".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