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a2dd" w14:textId="c21a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экологии, геологии и природных Республики Казахстан от 19 июля 2021 года № 257 "Об утверждении Правил разработки целевых показателей качества окружающей среды, в том числе минимального перечня индикаторов, для которых устанавливаются целевые показатели качества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июля 2026 года № 146. Зарегистрирован в Министерстве юстиции Республики Казахстан 28 июля 2026 года № 39420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Республики Казахстан от 19 июля 2021 года № 257 "Об утверждении Правил разработки целевых показателей качества окружающей среды, в том числе минимального перечня индикаторов, для которых устанавливаются целевые показатели качества окружающей среды" (зарегистрирован в Реестре государственной регистрации нормативных правовых актов за № 23615)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целевых показателей качества окружающей среды,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заказчик работ по разработке проекта целевых показателей качества окружающей среды (далее – Заказчик) – местный исполнительный орган столицы, области, города республиканского значения, разрабатывающий целевые показатели качества окружающей среды на период реализации программы развития территорий соответствующей административно-территориальной единицы;";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разработке проекта целевых показателей качества окружающей среды по качеству атмосферного воздуха, поверхностных и подземных вод, земель и почв выбор загрязняющих веществ осуществляется на основе базового антропогенного фона (фоновой концентрации) загрязняющих веществ, по которым есть превышение предельно допустимой концентрации по результатам мониторингов Национальной гидрометеорологической службы и государственной санитарно-эпидемиологической службы.";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При разработке целевых показателей качества окружающей среды по индикатору "качество атмосферного воздуха" применяются положения национального стандарта Республики Казахстан СТ РК 4024 "Качество воздуха. Руководство по переходу к рекомендациям Всемирной организации здравоохранения", утвержденного приказом Председателя Комитета технического регулирования и метрологии Министерства торговли и интеграции Республики Казахстан от 6 ноября 2025 года № 69-НҚ.";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Целевые показатели качества окружающей среды устанавливаются на уровне столицы, областей, городов республиканского значения.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Целевые показатели качества окружающей среды разрабатываются местными исполнительными органами столицы, областей, городов республиканского значения на каждый пятилетний период.";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культуры и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