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4898" w14:textId="6b14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подушевого нормативного финансирования в государственных детско-юношеских спортивных школах</w:t>
      </w:r>
    </w:p>
    <w:p>
      <w:pPr>
        <w:spacing w:after="0"/>
        <w:ind w:left="0"/>
        <w:jc w:val="both"/>
      </w:pPr>
      <w:r>
        <w:rPr>
          <w:rFonts w:ascii="Times New Roman"/>
          <w:b w:val="false"/>
          <w:i w:val="false"/>
          <w:color w:val="000000"/>
          <w:sz w:val="28"/>
        </w:rPr>
        <w:t>Приказ Министра туризма и спорта Республики Казахстан от 10 июля 2026 года № 120. Зарегистрирован в Министерстве юстиции Республики Казахстан 10 июля 2026 года № 39274.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65-27)</w:t>
      </w:r>
      <w:r>
        <w:rPr>
          <w:rFonts w:ascii="Times New Roman"/>
          <w:b w:val="false"/>
          <w:i w:val="false"/>
          <w:color w:val="000000"/>
          <w:sz w:val="28"/>
        </w:rPr>
        <w:t xml:space="preserve"> статьи 7 Закона Республики Казахстан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подушевого нормативного финансирования в государственных детско-юношеских спортивных школах.</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представление информации об исполнении в Департамент юридической службы Министерства туризма и спорта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120</w:t>
            </w:r>
          </w:p>
        </w:tc>
      </w:tr>
    </w:tbl>
    <w:bookmarkStart w:name="z14" w:id="8"/>
    <w:p>
      <w:pPr>
        <w:spacing w:after="0"/>
        <w:ind w:left="0"/>
        <w:jc w:val="left"/>
      </w:pPr>
      <w:r>
        <w:rPr>
          <w:rFonts w:ascii="Times New Roman"/>
          <w:b/>
          <w:i w:val="false"/>
          <w:color w:val="000000"/>
        </w:rPr>
        <w:t xml:space="preserve"> Методика подушевого нормативного финансирования в государственных детско-юношеских спортивных школах</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подушевого нормативного финансирования в государственных детско-юношеских спортивных школах (далее – Методика) разработана в соответствии с </w:t>
      </w:r>
      <w:r>
        <w:rPr>
          <w:rFonts w:ascii="Times New Roman"/>
          <w:b w:val="false"/>
          <w:i w:val="false"/>
          <w:color w:val="000000"/>
          <w:sz w:val="28"/>
        </w:rPr>
        <w:t>подпунктом 65-27)</w:t>
      </w:r>
      <w:r>
        <w:rPr>
          <w:rFonts w:ascii="Times New Roman"/>
          <w:b w:val="false"/>
          <w:i w:val="false"/>
          <w:color w:val="000000"/>
          <w:sz w:val="28"/>
        </w:rPr>
        <w:t xml:space="preserve"> статьи 7 Закона Республики Казахстан "О физической культуре и спорте" (далее – Закон "О физической культуре и спорте") и определяет единый подход при расчете подушевого нормативного финансирования в государственных детско-юношеских спортивных школах.</w:t>
      </w:r>
    </w:p>
    <w:bookmarkEnd w:id="10"/>
    <w:bookmarkStart w:name="z17" w:id="11"/>
    <w:p>
      <w:pPr>
        <w:spacing w:after="0"/>
        <w:ind w:left="0"/>
        <w:jc w:val="both"/>
      </w:pPr>
      <w:r>
        <w:rPr>
          <w:rFonts w:ascii="Times New Roman"/>
          <w:b w:val="false"/>
          <w:i w:val="false"/>
          <w:color w:val="000000"/>
          <w:sz w:val="28"/>
        </w:rPr>
        <w:t>
      Методика применяется при планировании объема подушевого нормативного финансирования в государственных детско-юношеских спортивных школах в отношении списка групп (по этапам обучения) по видам спорта высших достижений, предусмотренных в приложении 1 к настоящей Методике.</w:t>
      </w:r>
    </w:p>
    <w:bookmarkEnd w:id="11"/>
    <w:bookmarkStart w:name="z18" w:id="12"/>
    <w:p>
      <w:pPr>
        <w:spacing w:after="0"/>
        <w:ind w:left="0"/>
        <w:jc w:val="both"/>
      </w:pPr>
      <w:r>
        <w:rPr>
          <w:rFonts w:ascii="Times New Roman"/>
          <w:b w:val="false"/>
          <w:i w:val="false"/>
          <w:color w:val="000000"/>
          <w:sz w:val="28"/>
        </w:rPr>
        <w:t>
      2. В Методике используются следующие понятия:</w:t>
      </w:r>
    </w:p>
    <w:bookmarkEnd w:id="12"/>
    <w:bookmarkStart w:name="z19" w:id="13"/>
    <w:p>
      <w:pPr>
        <w:spacing w:after="0"/>
        <w:ind w:left="0"/>
        <w:jc w:val="both"/>
      </w:pPr>
      <w:r>
        <w:rPr>
          <w:rFonts w:ascii="Times New Roman"/>
          <w:b w:val="false"/>
          <w:i w:val="false"/>
          <w:color w:val="000000"/>
          <w:sz w:val="28"/>
        </w:rPr>
        <w:t>
      1) подушевой норматив финансирования в детско-юношеской спортивной школе – норматив финансового обеспечения гарантированной государственной стоимости обучения в государственных детско-юношеских спортивных школах (далее – ДЮСШ);</w:t>
      </w:r>
    </w:p>
    <w:bookmarkEnd w:id="13"/>
    <w:bookmarkStart w:name="z20" w:id="14"/>
    <w:p>
      <w:pPr>
        <w:spacing w:after="0"/>
        <w:ind w:left="0"/>
        <w:jc w:val="both"/>
      </w:pPr>
      <w:r>
        <w:rPr>
          <w:rFonts w:ascii="Times New Roman"/>
          <w:b w:val="false"/>
          <w:i w:val="false"/>
          <w:color w:val="000000"/>
          <w:sz w:val="28"/>
        </w:rPr>
        <w:t>
      2) объем подушевого нормативного финансирования в государственных ДЮСШ – гарантированный минимум финансирование расходов на одного обучающегося государственного ДЮСШ, определяемых исходя из подушевого норматива финансирования;</w:t>
      </w:r>
    </w:p>
    <w:bookmarkEnd w:id="14"/>
    <w:bookmarkStart w:name="z21" w:id="15"/>
    <w:p>
      <w:pPr>
        <w:spacing w:after="0"/>
        <w:ind w:left="0"/>
        <w:jc w:val="both"/>
      </w:pPr>
      <w:r>
        <w:rPr>
          <w:rFonts w:ascii="Times New Roman"/>
          <w:b w:val="false"/>
          <w:i w:val="false"/>
          <w:color w:val="000000"/>
          <w:sz w:val="28"/>
        </w:rPr>
        <w:t>
      3) спортивное мероприятие – спортивное соревнование, учебно-тренировочный сбор с участием спортсменов, тренеров и специалистов в области физической культуры и спорта;</w:t>
      </w:r>
    </w:p>
    <w:bookmarkEnd w:id="15"/>
    <w:bookmarkStart w:name="z22" w:id="16"/>
    <w:p>
      <w:pPr>
        <w:spacing w:after="0"/>
        <w:ind w:left="0"/>
        <w:jc w:val="both"/>
      </w:pPr>
      <w:r>
        <w:rPr>
          <w:rFonts w:ascii="Times New Roman"/>
          <w:b w:val="false"/>
          <w:i w:val="false"/>
          <w:color w:val="000000"/>
          <w:sz w:val="28"/>
        </w:rPr>
        <w:t>
      4) спорт высших достижений – национальные виды спорта и виды спорта, включенные в программы Олимпийских, Паралимпийских, Сурдлимпийских, Азиатских, Параазиатских игр;</w:t>
      </w:r>
    </w:p>
    <w:bookmarkEnd w:id="16"/>
    <w:bookmarkStart w:name="z23" w:id="17"/>
    <w:p>
      <w:pPr>
        <w:spacing w:after="0"/>
        <w:ind w:left="0"/>
        <w:jc w:val="both"/>
      </w:pPr>
      <w:r>
        <w:rPr>
          <w:rFonts w:ascii="Times New Roman"/>
          <w:b w:val="false"/>
          <w:i w:val="false"/>
          <w:color w:val="000000"/>
          <w:sz w:val="28"/>
        </w:rPr>
        <w:t xml:space="preserve">
      5) контингент в государственных ДЮСШ – спортсмены, зачисленные приказом руководителя в постоянный состав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под №10012).</w:t>
      </w:r>
    </w:p>
    <w:bookmarkEnd w:id="17"/>
    <w:bookmarkStart w:name="z24" w:id="18"/>
    <w:p>
      <w:pPr>
        <w:spacing w:after="0"/>
        <w:ind w:left="0"/>
        <w:jc w:val="both"/>
      </w:pPr>
      <w:r>
        <w:rPr>
          <w:rFonts w:ascii="Times New Roman"/>
          <w:b w:val="false"/>
          <w:i w:val="false"/>
          <w:color w:val="000000"/>
          <w:sz w:val="28"/>
        </w:rPr>
        <w:t>
      3. Для определения подушевого нормативного финансирования в государственных ДЮСШ учитываются расходы на учебно-тренировочный процесс, в том числе на фонд оплаты труда тренерско-преподавательского состава и административно-управленческого персонала, обеспечение экипировкой и инвентарем, фармакологией, а также на спортивные мероприятия.</w:t>
      </w:r>
    </w:p>
    <w:bookmarkEnd w:id="18"/>
    <w:bookmarkStart w:name="z25" w:id="19"/>
    <w:p>
      <w:pPr>
        <w:spacing w:after="0"/>
        <w:ind w:left="0"/>
        <w:jc w:val="both"/>
      </w:pPr>
      <w:r>
        <w:rPr>
          <w:rFonts w:ascii="Times New Roman"/>
          <w:b w:val="false"/>
          <w:i w:val="false"/>
          <w:color w:val="000000"/>
          <w:sz w:val="28"/>
        </w:rPr>
        <w:t>
      Подушевое нормативное финансирование не покрывает расходы по содержанию и аренде зданий и сооружений, коммунальных услуг, услуг связи и транспорта, которые финансируются по сметному финансированию.</w:t>
      </w:r>
    </w:p>
    <w:bookmarkEnd w:id="19"/>
    <w:bookmarkStart w:name="z26" w:id="20"/>
    <w:p>
      <w:pPr>
        <w:spacing w:after="0"/>
        <w:ind w:left="0"/>
        <w:jc w:val="both"/>
      </w:pPr>
      <w:r>
        <w:rPr>
          <w:rFonts w:ascii="Times New Roman"/>
          <w:b w:val="false"/>
          <w:i w:val="false"/>
          <w:color w:val="000000"/>
          <w:sz w:val="28"/>
        </w:rPr>
        <w:t xml:space="preserve">
      Учебно-тренировочный процесс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Закона "О физической культуре и спорте" подразделяется на следующие этапы: </w:t>
      </w:r>
    </w:p>
    <w:bookmarkEnd w:id="20"/>
    <w:bookmarkStart w:name="z27" w:id="21"/>
    <w:p>
      <w:pPr>
        <w:spacing w:after="0"/>
        <w:ind w:left="0"/>
        <w:jc w:val="both"/>
      </w:pPr>
      <w:r>
        <w:rPr>
          <w:rFonts w:ascii="Times New Roman"/>
          <w:b w:val="false"/>
          <w:i w:val="false"/>
          <w:color w:val="000000"/>
          <w:sz w:val="28"/>
        </w:rPr>
        <w:t>
      спортивно-оздоровительный;</w:t>
      </w:r>
    </w:p>
    <w:bookmarkEnd w:id="21"/>
    <w:bookmarkStart w:name="z28" w:id="22"/>
    <w:p>
      <w:pPr>
        <w:spacing w:after="0"/>
        <w:ind w:left="0"/>
        <w:jc w:val="both"/>
      </w:pPr>
      <w:r>
        <w:rPr>
          <w:rFonts w:ascii="Times New Roman"/>
          <w:b w:val="false"/>
          <w:i w:val="false"/>
          <w:color w:val="000000"/>
          <w:sz w:val="28"/>
        </w:rPr>
        <w:t>
      начальной подготовки;</w:t>
      </w:r>
    </w:p>
    <w:bookmarkEnd w:id="22"/>
    <w:bookmarkStart w:name="z29" w:id="23"/>
    <w:p>
      <w:pPr>
        <w:spacing w:after="0"/>
        <w:ind w:left="0"/>
        <w:jc w:val="both"/>
      </w:pPr>
      <w:r>
        <w:rPr>
          <w:rFonts w:ascii="Times New Roman"/>
          <w:b w:val="false"/>
          <w:i w:val="false"/>
          <w:color w:val="000000"/>
          <w:sz w:val="28"/>
        </w:rPr>
        <w:t>
      учебно-тренировочный;</w:t>
      </w:r>
    </w:p>
    <w:bookmarkEnd w:id="23"/>
    <w:bookmarkStart w:name="z30" w:id="24"/>
    <w:p>
      <w:pPr>
        <w:spacing w:after="0"/>
        <w:ind w:left="0"/>
        <w:jc w:val="both"/>
      </w:pPr>
      <w:r>
        <w:rPr>
          <w:rFonts w:ascii="Times New Roman"/>
          <w:b w:val="false"/>
          <w:i w:val="false"/>
          <w:color w:val="000000"/>
          <w:sz w:val="28"/>
        </w:rPr>
        <w:t>
      совершенствования спортивного мастерства;</w:t>
      </w:r>
    </w:p>
    <w:bookmarkEnd w:id="24"/>
    <w:bookmarkStart w:name="z31" w:id="25"/>
    <w:p>
      <w:pPr>
        <w:spacing w:after="0"/>
        <w:ind w:left="0"/>
        <w:jc w:val="both"/>
      </w:pPr>
      <w:r>
        <w:rPr>
          <w:rFonts w:ascii="Times New Roman"/>
          <w:b w:val="false"/>
          <w:i w:val="false"/>
          <w:color w:val="000000"/>
          <w:sz w:val="28"/>
        </w:rPr>
        <w:t>
      высшего спортивного мастерства.</w:t>
      </w:r>
    </w:p>
    <w:bookmarkEnd w:id="25"/>
    <w:bookmarkStart w:name="z32" w:id="26"/>
    <w:p>
      <w:pPr>
        <w:spacing w:after="0"/>
        <w:ind w:left="0"/>
        <w:jc w:val="both"/>
      </w:pPr>
      <w:r>
        <w:rPr>
          <w:rFonts w:ascii="Times New Roman"/>
          <w:b w:val="false"/>
          <w:i w:val="false"/>
          <w:color w:val="000000"/>
          <w:sz w:val="28"/>
        </w:rPr>
        <w:t>
      4. При расчете подушевого нормативного финансирования в государственных ДЮСШ используются следующие общие показатели:</w:t>
      </w:r>
    </w:p>
    <w:bookmarkEnd w:id="26"/>
    <w:bookmarkStart w:name="z33" w:id="27"/>
    <w:p>
      <w:pPr>
        <w:spacing w:after="0"/>
        <w:ind w:left="0"/>
        <w:jc w:val="both"/>
      </w:pPr>
      <w:r>
        <w:rPr>
          <w:rFonts w:ascii="Times New Roman"/>
          <w:b w:val="false"/>
          <w:i w:val="false"/>
          <w:color w:val="000000"/>
          <w:sz w:val="28"/>
        </w:rPr>
        <w:t xml:space="preserve">
      1) базовый должностной оклад (далее – БДО),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Правительства № 1193);</w:t>
      </w:r>
    </w:p>
    <w:bookmarkEnd w:id="27"/>
    <w:bookmarkStart w:name="z34" w:id="28"/>
    <w:p>
      <w:pPr>
        <w:spacing w:after="0"/>
        <w:ind w:left="0"/>
        <w:jc w:val="both"/>
      </w:pPr>
      <w:r>
        <w:rPr>
          <w:rFonts w:ascii="Times New Roman"/>
          <w:b w:val="false"/>
          <w:i w:val="false"/>
          <w:color w:val="000000"/>
          <w:sz w:val="28"/>
        </w:rPr>
        <w:t>
      2) месячный расчетный показатель (далее – МРП), установленный законом о республиканском бюджете на соответствующий год;</w:t>
      </w:r>
    </w:p>
    <w:bookmarkEnd w:id="28"/>
    <w:bookmarkStart w:name="z35" w:id="29"/>
    <w:p>
      <w:pPr>
        <w:spacing w:after="0"/>
        <w:ind w:left="0"/>
        <w:jc w:val="both"/>
      </w:pPr>
      <w:r>
        <w:rPr>
          <w:rFonts w:ascii="Times New Roman"/>
          <w:b w:val="false"/>
          <w:i w:val="false"/>
          <w:color w:val="000000"/>
          <w:sz w:val="28"/>
        </w:rPr>
        <w:t>
      3) контингент обучающихся, разделенный на три этапа подготовки, где:</w:t>
      </w:r>
    </w:p>
    <w:bookmarkEnd w:id="29"/>
    <w:bookmarkStart w:name="z36" w:id="30"/>
    <w:p>
      <w:pPr>
        <w:spacing w:after="0"/>
        <w:ind w:left="0"/>
        <w:jc w:val="both"/>
      </w:pPr>
      <w:r>
        <w:rPr>
          <w:rFonts w:ascii="Times New Roman"/>
          <w:b w:val="false"/>
          <w:i w:val="false"/>
          <w:color w:val="000000"/>
          <w:sz w:val="28"/>
        </w:rPr>
        <w:t>
      этап начальной подготовки (далее – Енп) – обучающиеся, зачисленные в группы спортивно-оздоровительной подготовки и начальной подготовки;</w:t>
      </w:r>
    </w:p>
    <w:bookmarkEnd w:id="30"/>
    <w:bookmarkStart w:name="z37" w:id="31"/>
    <w:p>
      <w:pPr>
        <w:spacing w:after="0"/>
        <w:ind w:left="0"/>
        <w:jc w:val="both"/>
      </w:pPr>
      <w:r>
        <w:rPr>
          <w:rFonts w:ascii="Times New Roman"/>
          <w:b w:val="false"/>
          <w:i w:val="false"/>
          <w:color w:val="000000"/>
          <w:sz w:val="28"/>
        </w:rPr>
        <w:t>
      этап учебно-тренировочной подготовки (далее – Етэ) – обучающиеся, зачисленные в группы успешно освоивших курс начальной подготовки с целью специализации по виду спорта;</w:t>
      </w:r>
    </w:p>
    <w:bookmarkEnd w:id="31"/>
    <w:bookmarkStart w:name="z38" w:id="32"/>
    <w:p>
      <w:pPr>
        <w:spacing w:after="0"/>
        <w:ind w:left="0"/>
        <w:jc w:val="both"/>
      </w:pPr>
      <w:r>
        <w:rPr>
          <w:rFonts w:ascii="Times New Roman"/>
          <w:b w:val="false"/>
          <w:i w:val="false"/>
          <w:color w:val="000000"/>
          <w:sz w:val="28"/>
        </w:rPr>
        <w:t>
      этап спортивного совершенствования (далее – Есс) – обучающиеся, зачисленные в группы спортивного совершенствования и высшего спортивного мастерства;</w:t>
      </w:r>
    </w:p>
    <w:bookmarkEnd w:id="32"/>
    <w:bookmarkStart w:name="z39" w:id="33"/>
    <w:p>
      <w:pPr>
        <w:spacing w:after="0"/>
        <w:ind w:left="0"/>
        <w:jc w:val="both"/>
      </w:pPr>
      <w:r>
        <w:rPr>
          <w:rFonts w:ascii="Times New Roman"/>
          <w:b w:val="false"/>
          <w:i w:val="false"/>
          <w:color w:val="000000"/>
          <w:sz w:val="28"/>
        </w:rPr>
        <w:t>
      4) количество учебных групп, утвержденные руководителем государственного ДЮСШ по согласованию с соответствующим местным исполнительным органом в области физической культуры и спорта, где:</w:t>
      </w:r>
    </w:p>
    <w:bookmarkEnd w:id="33"/>
    <w:bookmarkStart w:name="z40" w:id="34"/>
    <w:p>
      <w:pPr>
        <w:spacing w:after="0"/>
        <w:ind w:left="0"/>
        <w:jc w:val="both"/>
      </w:pPr>
      <w:r>
        <w:rPr>
          <w:rFonts w:ascii="Times New Roman"/>
          <w:b w:val="false"/>
          <w:i w:val="false"/>
          <w:color w:val="000000"/>
          <w:sz w:val="28"/>
        </w:rPr>
        <w:t>
      ∑грНП – общее количество групп этапа начальной подготовки;</w:t>
      </w:r>
    </w:p>
    <w:bookmarkEnd w:id="34"/>
    <w:bookmarkStart w:name="z41" w:id="35"/>
    <w:p>
      <w:pPr>
        <w:spacing w:after="0"/>
        <w:ind w:left="0"/>
        <w:jc w:val="both"/>
      </w:pPr>
      <w:r>
        <w:rPr>
          <w:rFonts w:ascii="Times New Roman"/>
          <w:b w:val="false"/>
          <w:i w:val="false"/>
          <w:color w:val="000000"/>
          <w:sz w:val="28"/>
        </w:rPr>
        <w:t>
      ∑грТЭ – общее количество групп этапа учебно-тренировочной подготовки;</w:t>
      </w:r>
    </w:p>
    <w:bookmarkEnd w:id="35"/>
    <w:bookmarkStart w:name="z42" w:id="36"/>
    <w:p>
      <w:pPr>
        <w:spacing w:after="0"/>
        <w:ind w:left="0"/>
        <w:jc w:val="both"/>
      </w:pPr>
      <w:r>
        <w:rPr>
          <w:rFonts w:ascii="Times New Roman"/>
          <w:b w:val="false"/>
          <w:i w:val="false"/>
          <w:color w:val="000000"/>
          <w:sz w:val="28"/>
        </w:rPr>
        <w:t>
      ∑грСС – общее количество групп этапа спортивного совершенствования.</w:t>
      </w:r>
    </w:p>
    <w:bookmarkEnd w:id="36"/>
    <w:bookmarkStart w:name="z43" w:id="37"/>
    <w:p>
      <w:pPr>
        <w:spacing w:after="0"/>
        <w:ind w:left="0"/>
        <w:jc w:val="left"/>
      </w:pPr>
      <w:r>
        <w:rPr>
          <w:rFonts w:ascii="Times New Roman"/>
          <w:b/>
          <w:i w:val="false"/>
          <w:color w:val="000000"/>
        </w:rPr>
        <w:t xml:space="preserve"> Глава 2. Алгоритм расчета подушевого нормативного финансирования в государственных детско-юношеских спортивных школах</w:t>
      </w:r>
    </w:p>
    <w:bookmarkEnd w:id="37"/>
    <w:bookmarkStart w:name="z44" w:id="38"/>
    <w:p>
      <w:pPr>
        <w:spacing w:after="0"/>
        <w:ind w:left="0"/>
        <w:jc w:val="both"/>
      </w:pPr>
      <w:r>
        <w:rPr>
          <w:rFonts w:ascii="Times New Roman"/>
          <w:b w:val="false"/>
          <w:i w:val="false"/>
          <w:color w:val="000000"/>
          <w:sz w:val="28"/>
        </w:rPr>
        <w:t>
      5. Расчет годового объема подушевого нормативного финансирования в государственных ДЮСШ, осуществляется по следующей формуле:</w:t>
      </w:r>
    </w:p>
    <w:bookmarkEnd w:id="38"/>
    <w:bookmarkStart w:name="z45" w:id="39"/>
    <w:p>
      <w:pPr>
        <w:spacing w:after="0"/>
        <w:ind w:left="0"/>
        <w:jc w:val="both"/>
      </w:pPr>
      <w:r>
        <w:rPr>
          <w:rFonts w:ascii="Times New Roman"/>
          <w:b w:val="false"/>
          <w:i w:val="false"/>
          <w:color w:val="000000"/>
          <w:sz w:val="28"/>
        </w:rPr>
        <w:t>
      Vpnf=(PNFфот*∑Е)+(Vpnfмто*(Енп+Етэ+Есс))+(VpnfW*(Етэ+Есс))+М*∑Есвд, где:</w:t>
      </w:r>
    </w:p>
    <w:bookmarkEnd w:id="39"/>
    <w:bookmarkStart w:name="z46" w:id="40"/>
    <w:p>
      <w:pPr>
        <w:spacing w:after="0"/>
        <w:ind w:left="0"/>
        <w:jc w:val="both"/>
      </w:pPr>
      <w:r>
        <w:rPr>
          <w:rFonts w:ascii="Times New Roman"/>
          <w:b w:val="false"/>
          <w:i w:val="false"/>
          <w:color w:val="000000"/>
          <w:sz w:val="28"/>
        </w:rPr>
        <w:t>
      Vpnf – годовой объем подушевого нормативного финансирования;</w:t>
      </w:r>
    </w:p>
    <w:bookmarkEnd w:id="40"/>
    <w:bookmarkStart w:name="z47" w:id="41"/>
    <w:p>
      <w:pPr>
        <w:spacing w:after="0"/>
        <w:ind w:left="0"/>
        <w:jc w:val="both"/>
      </w:pPr>
      <w:r>
        <w:rPr>
          <w:rFonts w:ascii="Times New Roman"/>
          <w:b w:val="false"/>
          <w:i w:val="false"/>
          <w:color w:val="000000"/>
          <w:sz w:val="28"/>
        </w:rPr>
        <w:t>
      PNFфот – норма расходов на оплату труда на одного обучающегося в год;</w:t>
      </w:r>
    </w:p>
    <w:bookmarkEnd w:id="41"/>
    <w:bookmarkStart w:name="z48" w:id="42"/>
    <w:p>
      <w:pPr>
        <w:spacing w:after="0"/>
        <w:ind w:left="0"/>
        <w:jc w:val="both"/>
      </w:pPr>
      <w:r>
        <w:rPr>
          <w:rFonts w:ascii="Times New Roman"/>
          <w:b w:val="false"/>
          <w:i w:val="false"/>
          <w:color w:val="000000"/>
          <w:sz w:val="28"/>
        </w:rPr>
        <w:t>
      ∑Е – контингент обучающихся по всем видам спорта;</w:t>
      </w:r>
    </w:p>
    <w:bookmarkEnd w:id="42"/>
    <w:bookmarkStart w:name="z49" w:id="43"/>
    <w:p>
      <w:pPr>
        <w:spacing w:after="0"/>
        <w:ind w:left="0"/>
        <w:jc w:val="both"/>
      </w:pPr>
      <w:r>
        <w:rPr>
          <w:rFonts w:ascii="Times New Roman"/>
          <w:b w:val="false"/>
          <w:i w:val="false"/>
          <w:color w:val="000000"/>
          <w:sz w:val="28"/>
        </w:rPr>
        <w:t>
      Vpnfмто – норма расходов на обеспечение экипировкой и инвентарем на одного обучающегося в год;</w:t>
      </w:r>
    </w:p>
    <w:bookmarkEnd w:id="43"/>
    <w:bookmarkStart w:name="z50" w:id="44"/>
    <w:p>
      <w:pPr>
        <w:spacing w:after="0"/>
        <w:ind w:left="0"/>
        <w:jc w:val="both"/>
      </w:pPr>
      <w:r>
        <w:rPr>
          <w:rFonts w:ascii="Times New Roman"/>
          <w:b w:val="false"/>
          <w:i w:val="false"/>
          <w:color w:val="000000"/>
          <w:sz w:val="28"/>
        </w:rPr>
        <w:t>
      Енп – контингент этапа начальной подготовки;</w:t>
      </w:r>
    </w:p>
    <w:bookmarkEnd w:id="44"/>
    <w:bookmarkStart w:name="z51" w:id="45"/>
    <w:p>
      <w:pPr>
        <w:spacing w:after="0"/>
        <w:ind w:left="0"/>
        <w:jc w:val="both"/>
      </w:pPr>
      <w:r>
        <w:rPr>
          <w:rFonts w:ascii="Times New Roman"/>
          <w:b w:val="false"/>
          <w:i w:val="false"/>
          <w:color w:val="000000"/>
          <w:sz w:val="28"/>
        </w:rPr>
        <w:t>
      Етэ – контингент этапа учебно-тренировочной подготовки;</w:t>
      </w:r>
    </w:p>
    <w:bookmarkEnd w:id="45"/>
    <w:bookmarkStart w:name="z52" w:id="46"/>
    <w:p>
      <w:pPr>
        <w:spacing w:after="0"/>
        <w:ind w:left="0"/>
        <w:jc w:val="both"/>
      </w:pPr>
      <w:r>
        <w:rPr>
          <w:rFonts w:ascii="Times New Roman"/>
          <w:b w:val="false"/>
          <w:i w:val="false"/>
          <w:color w:val="000000"/>
          <w:sz w:val="28"/>
        </w:rPr>
        <w:t>
      Есс – контингент этапа спортивного совершенствования;</w:t>
      </w:r>
    </w:p>
    <w:bookmarkEnd w:id="46"/>
    <w:bookmarkStart w:name="z53" w:id="47"/>
    <w:p>
      <w:pPr>
        <w:spacing w:after="0"/>
        <w:ind w:left="0"/>
        <w:jc w:val="both"/>
      </w:pPr>
      <w:r>
        <w:rPr>
          <w:rFonts w:ascii="Times New Roman"/>
          <w:b w:val="false"/>
          <w:i w:val="false"/>
          <w:color w:val="000000"/>
          <w:sz w:val="28"/>
        </w:rPr>
        <w:t>
      VpnfW – норма расходов на спортивные мероприятия на одного обучающегося в год;</w:t>
      </w:r>
    </w:p>
    <w:bookmarkEnd w:id="47"/>
    <w:bookmarkStart w:name="z54" w:id="48"/>
    <w:p>
      <w:pPr>
        <w:spacing w:after="0"/>
        <w:ind w:left="0"/>
        <w:jc w:val="both"/>
      </w:pPr>
      <w:r>
        <w:rPr>
          <w:rFonts w:ascii="Times New Roman"/>
          <w:b w:val="false"/>
          <w:i w:val="false"/>
          <w:color w:val="000000"/>
          <w:sz w:val="28"/>
        </w:rPr>
        <w:t xml:space="preserve">
      М – норма расходов на фармакологическое обеспечение, определена как 0,7 МРП на одного обучающегося в год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"Об утверждении Методики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(зарегистрирован в Реестре государственной регистрации нормативных правовых актов под №10005);</w:t>
      </w:r>
    </w:p>
    <w:bookmarkEnd w:id="48"/>
    <w:bookmarkStart w:name="z55" w:id="49"/>
    <w:p>
      <w:pPr>
        <w:spacing w:after="0"/>
        <w:ind w:left="0"/>
        <w:jc w:val="both"/>
      </w:pPr>
      <w:r>
        <w:rPr>
          <w:rFonts w:ascii="Times New Roman"/>
          <w:b w:val="false"/>
          <w:i w:val="false"/>
          <w:color w:val="000000"/>
          <w:sz w:val="28"/>
        </w:rPr>
        <w:t>
      ∑Есвд – контингент обучающихся по видам спорта высших достижений.</w:t>
      </w:r>
    </w:p>
    <w:bookmarkEnd w:id="49"/>
    <w:bookmarkStart w:name="z56" w:id="50"/>
    <w:p>
      <w:pPr>
        <w:spacing w:after="0"/>
        <w:ind w:left="0"/>
        <w:jc w:val="both"/>
      </w:pPr>
      <w:r>
        <w:rPr>
          <w:rFonts w:ascii="Times New Roman"/>
          <w:b w:val="false"/>
          <w:i w:val="false"/>
          <w:color w:val="000000"/>
          <w:sz w:val="28"/>
        </w:rPr>
        <w:t>
      6. Норма расходов на оплату труда на одного обучающегося в год, осуществляется по следующей формуле:</w:t>
      </w:r>
    </w:p>
    <w:bookmarkEnd w:id="50"/>
    <w:bookmarkStart w:name="z57" w:id="51"/>
    <w:p>
      <w:pPr>
        <w:spacing w:after="0"/>
        <w:ind w:left="0"/>
        <w:jc w:val="both"/>
      </w:pPr>
      <w:r>
        <w:rPr>
          <w:rFonts w:ascii="Times New Roman"/>
          <w:b w:val="false"/>
          <w:i w:val="false"/>
          <w:color w:val="000000"/>
          <w:sz w:val="28"/>
        </w:rPr>
        <w:t>
      PNFфот = ФОТ/∑Е, где:</w:t>
      </w:r>
    </w:p>
    <w:bookmarkEnd w:id="51"/>
    <w:bookmarkStart w:name="z58" w:id="52"/>
    <w:p>
      <w:pPr>
        <w:spacing w:after="0"/>
        <w:ind w:left="0"/>
        <w:jc w:val="both"/>
      </w:pPr>
      <w:r>
        <w:rPr>
          <w:rFonts w:ascii="Times New Roman"/>
          <w:b w:val="false"/>
          <w:i w:val="false"/>
          <w:color w:val="000000"/>
          <w:sz w:val="28"/>
        </w:rPr>
        <w:t>
      ФОТ – фонд оплаты труда, в теңге, рассчитывается на общий контингент обучающихся.</w:t>
      </w:r>
    </w:p>
    <w:bookmarkEnd w:id="52"/>
    <w:bookmarkStart w:name="z59" w:id="53"/>
    <w:p>
      <w:pPr>
        <w:spacing w:after="0"/>
        <w:ind w:left="0"/>
        <w:jc w:val="both"/>
      </w:pPr>
      <w:r>
        <w:rPr>
          <w:rFonts w:ascii="Times New Roman"/>
          <w:b w:val="false"/>
          <w:i w:val="false"/>
          <w:color w:val="000000"/>
          <w:sz w:val="28"/>
        </w:rPr>
        <w:t>
      Расчет фонда оплаты труда, осуществляется по следующей формуле:</w:t>
      </w:r>
    </w:p>
    <w:bookmarkEnd w:id="53"/>
    <w:bookmarkStart w:name="z60" w:id="54"/>
    <w:p>
      <w:pPr>
        <w:spacing w:after="0"/>
        <w:ind w:left="0"/>
        <w:jc w:val="both"/>
      </w:pPr>
      <w:r>
        <w:rPr>
          <w:rFonts w:ascii="Times New Roman"/>
          <w:b w:val="false"/>
          <w:i w:val="false"/>
          <w:color w:val="000000"/>
          <w:sz w:val="28"/>
        </w:rPr>
        <w:t>
      ФОТ = ФОТтрен.сост.+ФОТауп, где:</w:t>
      </w:r>
    </w:p>
    <w:bookmarkEnd w:id="54"/>
    <w:bookmarkStart w:name="z61" w:id="55"/>
    <w:p>
      <w:pPr>
        <w:spacing w:after="0"/>
        <w:ind w:left="0"/>
        <w:jc w:val="both"/>
      </w:pPr>
      <w:r>
        <w:rPr>
          <w:rFonts w:ascii="Times New Roman"/>
          <w:b w:val="false"/>
          <w:i w:val="false"/>
          <w:color w:val="000000"/>
          <w:sz w:val="28"/>
        </w:rPr>
        <w:t>
      ФОТтрен.сост. – фонд оплаты труда тренерско-преподавательского состава, в теңге;</w:t>
      </w:r>
    </w:p>
    <w:bookmarkEnd w:id="55"/>
    <w:bookmarkStart w:name="z62" w:id="56"/>
    <w:p>
      <w:pPr>
        <w:spacing w:after="0"/>
        <w:ind w:left="0"/>
        <w:jc w:val="both"/>
      </w:pPr>
      <w:r>
        <w:rPr>
          <w:rFonts w:ascii="Times New Roman"/>
          <w:b w:val="false"/>
          <w:i w:val="false"/>
          <w:color w:val="000000"/>
          <w:sz w:val="28"/>
        </w:rPr>
        <w:t xml:space="preserve">
      ФОТауп – фонд оплаты труда административно-управленческого состава, согласно штатному расписанию, в теңге. </w:t>
      </w:r>
    </w:p>
    <w:bookmarkEnd w:id="56"/>
    <w:bookmarkStart w:name="z63" w:id="57"/>
    <w:p>
      <w:pPr>
        <w:spacing w:after="0"/>
        <w:ind w:left="0"/>
        <w:jc w:val="both"/>
      </w:pPr>
      <w:r>
        <w:rPr>
          <w:rFonts w:ascii="Times New Roman"/>
          <w:b w:val="false"/>
          <w:i w:val="false"/>
          <w:color w:val="000000"/>
          <w:sz w:val="28"/>
        </w:rPr>
        <w:t>
      Расчет фонда заработной платы тренерско-преподавательского состава, осуществляется по следующей формуле:</w:t>
      </w:r>
    </w:p>
    <w:bookmarkEnd w:id="57"/>
    <w:bookmarkStart w:name="z64" w:id="58"/>
    <w:p>
      <w:pPr>
        <w:spacing w:after="0"/>
        <w:ind w:left="0"/>
        <w:jc w:val="both"/>
      </w:pPr>
      <w:r>
        <w:rPr>
          <w:rFonts w:ascii="Times New Roman"/>
          <w:b w:val="false"/>
          <w:i w:val="false"/>
          <w:color w:val="000000"/>
          <w:sz w:val="28"/>
        </w:rPr>
        <w:t>
      ФОТтрен.сост. = (Qгод+∑PO), где:</w:t>
      </w:r>
    </w:p>
    <w:bookmarkEnd w:id="58"/>
    <w:bookmarkStart w:name="z65" w:id="59"/>
    <w:p>
      <w:pPr>
        <w:spacing w:after="0"/>
        <w:ind w:left="0"/>
        <w:jc w:val="both"/>
      </w:pPr>
      <w:r>
        <w:rPr>
          <w:rFonts w:ascii="Times New Roman"/>
          <w:b w:val="false"/>
          <w:i w:val="false"/>
          <w:color w:val="000000"/>
          <w:sz w:val="28"/>
        </w:rPr>
        <w:t>
      ∑PO – сумма пособия на оздоровление к ежегодному оплачиваемому трудовому отпуску гражданским служащим в размере одного должностного оклада (далее – ДО), в теңге;</w:t>
      </w:r>
    </w:p>
    <w:bookmarkEnd w:id="59"/>
    <w:bookmarkStart w:name="z66" w:id="60"/>
    <w:p>
      <w:pPr>
        <w:spacing w:after="0"/>
        <w:ind w:left="0"/>
        <w:jc w:val="both"/>
      </w:pPr>
      <w:r>
        <w:rPr>
          <w:rFonts w:ascii="Times New Roman"/>
          <w:b w:val="false"/>
          <w:i w:val="false"/>
          <w:color w:val="000000"/>
          <w:sz w:val="28"/>
        </w:rPr>
        <w:t>
      Qгод – заработная плата тренерско-преподавательского состава в год с налоговой нагрузкой, в теңге, расчет по формуле:</w:t>
      </w:r>
    </w:p>
    <w:bookmarkEnd w:id="60"/>
    <w:bookmarkStart w:name="z67" w:id="61"/>
    <w:p>
      <w:pPr>
        <w:spacing w:after="0"/>
        <w:ind w:left="0"/>
        <w:jc w:val="both"/>
      </w:pPr>
      <w:r>
        <w:rPr>
          <w:rFonts w:ascii="Times New Roman"/>
          <w:b w:val="false"/>
          <w:i w:val="false"/>
          <w:color w:val="000000"/>
          <w:sz w:val="28"/>
        </w:rPr>
        <w:t>
      Qгод = ((Qмес.тр.сост.+ ∑H)*12)* N1* N2 , где:</w:t>
      </w:r>
    </w:p>
    <w:bookmarkEnd w:id="61"/>
    <w:bookmarkStart w:name="z68" w:id="62"/>
    <w:p>
      <w:pPr>
        <w:spacing w:after="0"/>
        <w:ind w:left="0"/>
        <w:jc w:val="both"/>
      </w:pPr>
      <w:r>
        <w:rPr>
          <w:rFonts w:ascii="Times New Roman"/>
          <w:b w:val="false"/>
          <w:i w:val="false"/>
          <w:color w:val="000000"/>
          <w:sz w:val="28"/>
        </w:rPr>
        <w:t>
      Qмес.тр.сост. – сумма ДО тренеров-преподавателей в месяц;</w:t>
      </w:r>
    </w:p>
    <w:bookmarkEnd w:id="62"/>
    <w:bookmarkStart w:name="z69" w:id="63"/>
    <w:p>
      <w:pPr>
        <w:spacing w:after="0"/>
        <w:ind w:left="0"/>
        <w:jc w:val="both"/>
      </w:pPr>
      <w:r>
        <w:rPr>
          <w:rFonts w:ascii="Times New Roman"/>
          <w:b w:val="false"/>
          <w:i w:val="false"/>
          <w:color w:val="000000"/>
          <w:sz w:val="28"/>
        </w:rPr>
        <w:t>
      ∑H – итоговая сумма надбавок и доплат;</w:t>
      </w:r>
    </w:p>
    <w:bookmarkEnd w:id="63"/>
    <w:bookmarkStart w:name="z70" w:id="64"/>
    <w:p>
      <w:pPr>
        <w:spacing w:after="0"/>
        <w:ind w:left="0"/>
        <w:jc w:val="both"/>
      </w:pPr>
      <w:r>
        <w:rPr>
          <w:rFonts w:ascii="Times New Roman"/>
          <w:b w:val="false"/>
          <w:i w:val="false"/>
          <w:color w:val="000000"/>
          <w:sz w:val="28"/>
        </w:rPr>
        <w:t>
      N1 – коэффициент социального налога и социальных отчислений:</w:t>
      </w:r>
    </w:p>
    <w:bookmarkEnd w:id="64"/>
    <w:bookmarkStart w:name="z71" w:id="65"/>
    <w:p>
      <w:pPr>
        <w:spacing w:after="0"/>
        <w:ind w:left="0"/>
        <w:jc w:val="both"/>
      </w:pPr>
      <w:r>
        <w:rPr>
          <w:rFonts w:ascii="Times New Roman"/>
          <w:b w:val="false"/>
          <w:i w:val="false"/>
          <w:color w:val="000000"/>
          <w:sz w:val="28"/>
        </w:rPr>
        <w:t>
      На 2026 и последующие годы – 1,0968;</w:t>
      </w:r>
    </w:p>
    <w:bookmarkEnd w:id="65"/>
    <w:bookmarkStart w:name="z72" w:id="66"/>
    <w:p>
      <w:pPr>
        <w:spacing w:after="0"/>
        <w:ind w:left="0"/>
        <w:jc w:val="both"/>
      </w:pPr>
      <w:r>
        <w:rPr>
          <w:rFonts w:ascii="Times New Roman"/>
          <w:b w:val="false"/>
          <w:i w:val="false"/>
          <w:color w:val="000000"/>
          <w:sz w:val="28"/>
        </w:rPr>
        <w:t>
      N2 – коэффициент обязательных пенсионных взносов и отчислений работодателя в фонд обязательного медицинского страхования:</w:t>
      </w:r>
    </w:p>
    <w:bookmarkEnd w:id="66"/>
    <w:bookmarkStart w:name="z73" w:id="67"/>
    <w:p>
      <w:pPr>
        <w:spacing w:after="0"/>
        <w:ind w:left="0"/>
        <w:jc w:val="both"/>
      </w:pPr>
      <w:r>
        <w:rPr>
          <w:rFonts w:ascii="Times New Roman"/>
          <w:b w:val="false"/>
          <w:i w:val="false"/>
          <w:color w:val="000000"/>
          <w:sz w:val="28"/>
        </w:rPr>
        <w:t>
      на 2026 год – 1,065;</w:t>
      </w:r>
    </w:p>
    <w:bookmarkEnd w:id="67"/>
    <w:bookmarkStart w:name="z74" w:id="68"/>
    <w:p>
      <w:pPr>
        <w:spacing w:after="0"/>
        <w:ind w:left="0"/>
        <w:jc w:val="both"/>
      </w:pPr>
      <w:r>
        <w:rPr>
          <w:rFonts w:ascii="Times New Roman"/>
          <w:b w:val="false"/>
          <w:i w:val="false"/>
          <w:color w:val="000000"/>
          <w:sz w:val="28"/>
        </w:rPr>
        <w:t>
      на 2027 год – 1,075;</w:t>
      </w:r>
    </w:p>
    <w:bookmarkEnd w:id="68"/>
    <w:bookmarkStart w:name="z75" w:id="69"/>
    <w:p>
      <w:pPr>
        <w:spacing w:after="0"/>
        <w:ind w:left="0"/>
        <w:jc w:val="both"/>
      </w:pPr>
      <w:r>
        <w:rPr>
          <w:rFonts w:ascii="Times New Roman"/>
          <w:b w:val="false"/>
          <w:i w:val="false"/>
          <w:color w:val="000000"/>
          <w:sz w:val="28"/>
        </w:rPr>
        <w:t>
      на 2028 и последующие годы – 1,08.</w:t>
      </w:r>
    </w:p>
    <w:bookmarkEnd w:id="69"/>
    <w:bookmarkStart w:name="z76" w:id="70"/>
    <w:p>
      <w:pPr>
        <w:spacing w:after="0"/>
        <w:ind w:left="0"/>
        <w:jc w:val="both"/>
      </w:pPr>
      <w:r>
        <w:rPr>
          <w:rFonts w:ascii="Times New Roman"/>
          <w:b w:val="false"/>
          <w:i w:val="false"/>
          <w:color w:val="000000"/>
          <w:sz w:val="28"/>
        </w:rPr>
        <w:t>
      Расчет суммы ДО тренерско-преподавательского состава в месяц, осуществляется по следующей формуле:</w:t>
      </w:r>
    </w:p>
    <w:bookmarkEnd w:id="70"/>
    <w:bookmarkStart w:name="z77" w:id="71"/>
    <w:p>
      <w:pPr>
        <w:spacing w:after="0"/>
        <w:ind w:left="0"/>
        <w:jc w:val="both"/>
      </w:pPr>
      <w:r>
        <w:rPr>
          <w:rFonts w:ascii="Times New Roman"/>
          <w:b w:val="false"/>
          <w:i w:val="false"/>
          <w:color w:val="000000"/>
          <w:sz w:val="28"/>
        </w:rPr>
        <w:t>
      Qмес.тр. сост. = (L*Qмес), где:</w:t>
      </w:r>
    </w:p>
    <w:bookmarkEnd w:id="71"/>
    <w:bookmarkStart w:name="z78" w:id="72"/>
    <w:p>
      <w:pPr>
        <w:spacing w:after="0"/>
        <w:ind w:left="0"/>
        <w:jc w:val="both"/>
      </w:pPr>
      <w:r>
        <w:rPr>
          <w:rFonts w:ascii="Times New Roman"/>
          <w:b w:val="false"/>
          <w:i w:val="false"/>
          <w:color w:val="000000"/>
          <w:sz w:val="28"/>
        </w:rPr>
        <w:t>
      L – количество тренерско-преподавательских ставок для осуществления процесса;</w:t>
      </w:r>
    </w:p>
    <w:bookmarkEnd w:id="72"/>
    <w:bookmarkStart w:name="z79" w:id="73"/>
    <w:p>
      <w:pPr>
        <w:spacing w:after="0"/>
        <w:ind w:left="0"/>
        <w:jc w:val="both"/>
      </w:pPr>
      <w:r>
        <w:rPr>
          <w:rFonts w:ascii="Times New Roman"/>
          <w:b w:val="false"/>
          <w:i w:val="false"/>
          <w:color w:val="000000"/>
          <w:sz w:val="28"/>
        </w:rPr>
        <w:t>
      Qмес – ДО тренера-преподавателя в месяц, в теңге, расчет по формуле:</w:t>
      </w:r>
    </w:p>
    <w:bookmarkEnd w:id="73"/>
    <w:bookmarkStart w:name="z80" w:id="74"/>
    <w:p>
      <w:pPr>
        <w:spacing w:after="0"/>
        <w:ind w:left="0"/>
        <w:jc w:val="both"/>
      </w:pPr>
      <w:r>
        <w:rPr>
          <w:rFonts w:ascii="Times New Roman"/>
          <w:b w:val="false"/>
          <w:i w:val="false"/>
          <w:color w:val="000000"/>
          <w:sz w:val="28"/>
        </w:rPr>
        <w:t>
      Qмес = 4,65*БДО*k;</w:t>
      </w:r>
    </w:p>
    <w:bookmarkEnd w:id="74"/>
    <w:bookmarkStart w:name="z81" w:id="75"/>
    <w:p>
      <w:pPr>
        <w:spacing w:after="0"/>
        <w:ind w:left="0"/>
        <w:jc w:val="both"/>
      </w:pPr>
      <w:r>
        <w:rPr>
          <w:rFonts w:ascii="Times New Roman"/>
          <w:b w:val="false"/>
          <w:i w:val="false"/>
          <w:color w:val="000000"/>
          <w:sz w:val="28"/>
        </w:rPr>
        <w:t xml:space="preserve">
      4,65 – средний коэффициент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№1193, стаж 7-10 лет, категория В2-3;</w:t>
      </w:r>
    </w:p>
    <w:bookmarkEnd w:id="75"/>
    <w:bookmarkStart w:name="z82" w:id="76"/>
    <w:p>
      <w:pPr>
        <w:spacing w:after="0"/>
        <w:ind w:left="0"/>
        <w:jc w:val="both"/>
      </w:pPr>
      <w:r>
        <w:rPr>
          <w:rFonts w:ascii="Times New Roman"/>
          <w:b w:val="false"/>
          <w:i w:val="false"/>
          <w:color w:val="000000"/>
          <w:sz w:val="28"/>
        </w:rPr>
        <w:t>
      БДО – базовый должностной оклад;</w:t>
      </w:r>
    </w:p>
    <w:bookmarkEnd w:id="76"/>
    <w:bookmarkStart w:name="z83" w:id="77"/>
    <w:p>
      <w:pPr>
        <w:spacing w:after="0"/>
        <w:ind w:left="0"/>
        <w:jc w:val="both"/>
      </w:pPr>
      <w:r>
        <w:rPr>
          <w:rFonts w:ascii="Times New Roman"/>
          <w:b w:val="false"/>
          <w:i w:val="false"/>
          <w:color w:val="000000"/>
          <w:sz w:val="28"/>
        </w:rPr>
        <w:t>
      k – поправочный коэффициент к ДО на 2026 год и последующие годы, согласно постановлению Правительства №1193.</w:t>
      </w:r>
    </w:p>
    <w:bookmarkEnd w:id="77"/>
    <w:bookmarkStart w:name="z84" w:id="78"/>
    <w:p>
      <w:pPr>
        <w:spacing w:after="0"/>
        <w:ind w:left="0"/>
        <w:jc w:val="both"/>
      </w:pPr>
      <w:r>
        <w:rPr>
          <w:rFonts w:ascii="Times New Roman"/>
          <w:b w:val="false"/>
          <w:i w:val="false"/>
          <w:color w:val="000000"/>
          <w:sz w:val="28"/>
        </w:rPr>
        <w:t>
      Расчет количества тренерско-преподавательских ставок для осуществления процесса, осуществляется по следующей формуле:</w:t>
      </w:r>
    </w:p>
    <w:bookmarkEnd w:id="78"/>
    <w:bookmarkStart w:name="z85" w:id="79"/>
    <w:p>
      <w:pPr>
        <w:spacing w:after="0"/>
        <w:ind w:left="0"/>
        <w:jc w:val="both"/>
      </w:pPr>
      <w:r>
        <w:rPr>
          <w:rFonts w:ascii="Times New Roman"/>
          <w:b w:val="false"/>
          <w:i w:val="false"/>
          <w:color w:val="000000"/>
          <w:sz w:val="28"/>
        </w:rPr>
        <w:t>
      L= ((∑грНП*Снп)+(∑грТЭ*Стэ)+(∑грСС*Ссс))/52/24, где:</w:t>
      </w:r>
    </w:p>
    <w:bookmarkEnd w:id="79"/>
    <w:bookmarkStart w:name="z86" w:id="80"/>
    <w:p>
      <w:pPr>
        <w:spacing w:after="0"/>
        <w:ind w:left="0"/>
        <w:jc w:val="both"/>
      </w:pPr>
      <w:r>
        <w:rPr>
          <w:rFonts w:ascii="Times New Roman"/>
          <w:b w:val="false"/>
          <w:i w:val="false"/>
          <w:color w:val="000000"/>
          <w:sz w:val="28"/>
        </w:rPr>
        <w:t>
      L – всего количество тренерско-преподавательских ставок;</w:t>
      </w:r>
    </w:p>
    <w:bookmarkEnd w:id="80"/>
    <w:bookmarkStart w:name="z87" w:id="81"/>
    <w:p>
      <w:pPr>
        <w:spacing w:after="0"/>
        <w:ind w:left="0"/>
        <w:jc w:val="both"/>
      </w:pPr>
      <w:r>
        <w:rPr>
          <w:rFonts w:ascii="Times New Roman"/>
          <w:b w:val="false"/>
          <w:i w:val="false"/>
          <w:color w:val="000000"/>
          <w:sz w:val="28"/>
        </w:rPr>
        <w:t>
      Снп – среднее нормативное количество часов обучения С на одну учебную группу этапа начальной подготовки в год;</w:t>
      </w:r>
    </w:p>
    <w:bookmarkEnd w:id="81"/>
    <w:bookmarkStart w:name="z88" w:id="82"/>
    <w:p>
      <w:pPr>
        <w:spacing w:after="0"/>
        <w:ind w:left="0"/>
        <w:jc w:val="both"/>
      </w:pPr>
      <w:r>
        <w:rPr>
          <w:rFonts w:ascii="Times New Roman"/>
          <w:b w:val="false"/>
          <w:i w:val="false"/>
          <w:color w:val="000000"/>
          <w:sz w:val="28"/>
        </w:rPr>
        <w:t>
      Стэ – среднее нормативное количество часов обучения С на одну учебную группу учебно-тренировочного этапа в год;</w:t>
      </w:r>
    </w:p>
    <w:bookmarkEnd w:id="82"/>
    <w:bookmarkStart w:name="z89" w:id="83"/>
    <w:p>
      <w:pPr>
        <w:spacing w:after="0"/>
        <w:ind w:left="0"/>
        <w:jc w:val="both"/>
      </w:pPr>
      <w:r>
        <w:rPr>
          <w:rFonts w:ascii="Times New Roman"/>
          <w:b w:val="false"/>
          <w:i w:val="false"/>
          <w:color w:val="000000"/>
          <w:sz w:val="28"/>
        </w:rPr>
        <w:t>
      Ссс – среднее нормативное количество часов обучения С на одну учебную группу этапа спортивного совершенствования в год.</w:t>
      </w:r>
    </w:p>
    <w:bookmarkEnd w:id="83"/>
    <w:bookmarkStart w:name="z90" w:id="84"/>
    <w:p>
      <w:pPr>
        <w:spacing w:after="0"/>
        <w:ind w:left="0"/>
        <w:jc w:val="both"/>
      </w:pPr>
      <w:r>
        <w:rPr>
          <w:rFonts w:ascii="Times New Roman"/>
          <w:b w:val="false"/>
          <w:i w:val="false"/>
          <w:color w:val="000000"/>
          <w:sz w:val="28"/>
        </w:rPr>
        <w:t>
      Учебно-тренировочные занятия в государственных ДЮСШ рассчитаны на 52 недели в год, тренерско-преподавательская ставка группы 24 часов в неделю.</w:t>
      </w:r>
    </w:p>
    <w:bookmarkEnd w:id="84"/>
    <w:bookmarkStart w:name="z91" w:id="85"/>
    <w:p>
      <w:pPr>
        <w:spacing w:after="0"/>
        <w:ind w:left="0"/>
        <w:jc w:val="both"/>
      </w:pPr>
      <w:r>
        <w:rPr>
          <w:rFonts w:ascii="Times New Roman"/>
          <w:b w:val="false"/>
          <w:i w:val="false"/>
          <w:color w:val="000000"/>
          <w:sz w:val="28"/>
        </w:rPr>
        <w:t xml:space="preserve">
      Расчет итоговой суммы доплат и надбавок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№1193, рассчитывается по следующей формуле:</w:t>
      </w:r>
    </w:p>
    <w:bookmarkEnd w:id="85"/>
    <w:bookmarkStart w:name="z92" w:id="86"/>
    <w:p>
      <w:pPr>
        <w:spacing w:after="0"/>
        <w:ind w:left="0"/>
        <w:jc w:val="both"/>
      </w:pPr>
      <w:r>
        <w:rPr>
          <w:rFonts w:ascii="Times New Roman"/>
          <w:b w:val="false"/>
          <w:i w:val="false"/>
          <w:color w:val="000000"/>
          <w:sz w:val="28"/>
        </w:rPr>
        <w:t>
      ∑H = Нспец+Нсел+Нэко+Нрад+Нзвание+НквалТ+ Н10+Нутп</w:t>
      </w:r>
    </w:p>
    <w:bookmarkEnd w:id="86"/>
    <w:bookmarkStart w:name="z93" w:id="87"/>
    <w:p>
      <w:pPr>
        <w:spacing w:after="0"/>
        <w:ind w:left="0"/>
        <w:jc w:val="both"/>
      </w:pPr>
      <w:r>
        <w:rPr>
          <w:rFonts w:ascii="Times New Roman"/>
          <w:b w:val="false"/>
          <w:i w:val="false"/>
          <w:color w:val="000000"/>
          <w:sz w:val="28"/>
        </w:rPr>
        <w:t>
      Нспец – доплата за углубленное преподавание отдельных предметов</w:t>
      </w:r>
    </w:p>
    <w:bookmarkEnd w:id="87"/>
    <w:bookmarkStart w:name="z94" w:id="88"/>
    <w:p>
      <w:pPr>
        <w:spacing w:after="0"/>
        <w:ind w:left="0"/>
        <w:jc w:val="both"/>
      </w:pPr>
      <w:r>
        <w:rPr>
          <w:rFonts w:ascii="Times New Roman"/>
          <w:b w:val="false"/>
          <w:i w:val="false"/>
          <w:color w:val="000000"/>
          <w:sz w:val="28"/>
        </w:rPr>
        <w:t xml:space="preserve">
      профильного направления и рассчитывается по формуле: </w:t>
      </w:r>
    </w:p>
    <w:bookmarkEnd w:id="88"/>
    <w:bookmarkStart w:name="z95" w:id="89"/>
    <w:p>
      <w:pPr>
        <w:spacing w:after="0"/>
        <w:ind w:left="0"/>
        <w:jc w:val="both"/>
      </w:pPr>
      <w:r>
        <w:rPr>
          <w:rFonts w:ascii="Times New Roman"/>
          <w:b w:val="false"/>
          <w:i w:val="false"/>
          <w:color w:val="000000"/>
          <w:sz w:val="28"/>
        </w:rPr>
        <w:t>
      Нспец = L1*0,4 (имеющих установленную доплату) *БДО, где:</w:t>
      </w:r>
    </w:p>
    <w:bookmarkEnd w:id="89"/>
    <w:bookmarkStart w:name="z96" w:id="90"/>
    <w:p>
      <w:pPr>
        <w:spacing w:after="0"/>
        <w:ind w:left="0"/>
        <w:jc w:val="both"/>
      </w:pPr>
      <w:r>
        <w:rPr>
          <w:rFonts w:ascii="Times New Roman"/>
          <w:b w:val="false"/>
          <w:i w:val="false"/>
          <w:color w:val="000000"/>
          <w:sz w:val="28"/>
        </w:rPr>
        <w:t>
      L1 – количество тренерско-преподавательских ставок для осуществления процесса;</w:t>
      </w:r>
    </w:p>
    <w:bookmarkEnd w:id="90"/>
    <w:bookmarkStart w:name="z97" w:id="91"/>
    <w:p>
      <w:pPr>
        <w:spacing w:after="0"/>
        <w:ind w:left="0"/>
        <w:jc w:val="both"/>
      </w:pPr>
      <w:r>
        <w:rPr>
          <w:rFonts w:ascii="Times New Roman"/>
          <w:b w:val="false"/>
          <w:i w:val="false"/>
          <w:color w:val="000000"/>
          <w:sz w:val="28"/>
        </w:rPr>
        <w:t xml:space="preserve">
      Нсел – повышение за работу в сельской местности в соответствии с пунктом 9 статьи 139 Трудового кодекса Республики Казахстан и рассчитывается по формуле: </w:t>
      </w:r>
    </w:p>
    <w:bookmarkEnd w:id="91"/>
    <w:bookmarkStart w:name="z98" w:id="92"/>
    <w:p>
      <w:pPr>
        <w:spacing w:after="0"/>
        <w:ind w:left="0"/>
        <w:jc w:val="both"/>
      </w:pPr>
      <w:r>
        <w:rPr>
          <w:rFonts w:ascii="Times New Roman"/>
          <w:b w:val="false"/>
          <w:i w:val="false"/>
          <w:color w:val="000000"/>
          <w:sz w:val="28"/>
        </w:rPr>
        <w:t>
      Нсел = L2* Qмес *0,25 (имеющих установленную надбавку), где:</w:t>
      </w:r>
    </w:p>
    <w:bookmarkEnd w:id="92"/>
    <w:bookmarkStart w:name="z99" w:id="93"/>
    <w:p>
      <w:pPr>
        <w:spacing w:after="0"/>
        <w:ind w:left="0"/>
        <w:jc w:val="both"/>
      </w:pPr>
      <w:r>
        <w:rPr>
          <w:rFonts w:ascii="Times New Roman"/>
          <w:b w:val="false"/>
          <w:i w:val="false"/>
          <w:color w:val="000000"/>
          <w:sz w:val="28"/>
        </w:rPr>
        <w:t>
      L2 – количество тренерско-преподавательских ставок для осуществления процесса;</w:t>
      </w:r>
    </w:p>
    <w:bookmarkEnd w:id="93"/>
    <w:bookmarkStart w:name="z100" w:id="94"/>
    <w:p>
      <w:pPr>
        <w:spacing w:after="0"/>
        <w:ind w:left="0"/>
        <w:jc w:val="both"/>
      </w:pPr>
      <w:r>
        <w:rPr>
          <w:rFonts w:ascii="Times New Roman"/>
          <w:b w:val="false"/>
          <w:i w:val="false"/>
          <w:color w:val="000000"/>
          <w:sz w:val="28"/>
        </w:rPr>
        <w:t>
      Нэко – доплата за работу в зоне экологического бедствия (в том числе:</w:t>
      </w:r>
    </w:p>
    <w:bookmarkEnd w:id="94"/>
    <w:bookmarkStart w:name="z101" w:id="95"/>
    <w:p>
      <w:pPr>
        <w:spacing w:after="0"/>
        <w:ind w:left="0"/>
        <w:jc w:val="both"/>
      </w:pPr>
      <w:r>
        <w:rPr>
          <w:rFonts w:ascii="Times New Roman"/>
          <w:b w:val="false"/>
          <w:i w:val="false"/>
          <w:color w:val="000000"/>
          <w:sz w:val="28"/>
        </w:rPr>
        <w:t>
      экологической катастрофы, экологического кризиса, экологического предкризисного состояния) в соответствии с Законом Республики Казахстан "О социальной защите граждан, пострадавших вследствие экологического бедствия в Приаралье" и рассчитывается по формуле:</w:t>
      </w:r>
    </w:p>
    <w:bookmarkEnd w:id="95"/>
    <w:bookmarkStart w:name="z102" w:id="96"/>
    <w:p>
      <w:pPr>
        <w:spacing w:after="0"/>
        <w:ind w:left="0"/>
        <w:jc w:val="both"/>
      </w:pPr>
      <w:r>
        <w:rPr>
          <w:rFonts w:ascii="Times New Roman"/>
          <w:b w:val="false"/>
          <w:i w:val="false"/>
          <w:color w:val="000000"/>
          <w:sz w:val="28"/>
        </w:rPr>
        <w:t>
      Нэко = L3 * Qмес*0,2 (имеющих установленную доплату), где:</w:t>
      </w:r>
    </w:p>
    <w:bookmarkEnd w:id="96"/>
    <w:bookmarkStart w:name="z103" w:id="97"/>
    <w:p>
      <w:pPr>
        <w:spacing w:after="0"/>
        <w:ind w:left="0"/>
        <w:jc w:val="both"/>
      </w:pPr>
      <w:r>
        <w:rPr>
          <w:rFonts w:ascii="Times New Roman"/>
          <w:b w:val="false"/>
          <w:i w:val="false"/>
          <w:color w:val="000000"/>
          <w:sz w:val="28"/>
        </w:rPr>
        <w:t>
      L3 – количество тренерско-преподавательских ставок для осуществления процесса;</w:t>
      </w:r>
    </w:p>
    <w:bookmarkEnd w:id="97"/>
    <w:bookmarkStart w:name="z104" w:id="98"/>
    <w:p>
      <w:pPr>
        <w:spacing w:after="0"/>
        <w:ind w:left="0"/>
        <w:jc w:val="both"/>
      </w:pPr>
      <w:r>
        <w:rPr>
          <w:rFonts w:ascii="Times New Roman"/>
          <w:b w:val="false"/>
          <w:i w:val="false"/>
          <w:color w:val="000000"/>
          <w:sz w:val="28"/>
        </w:rPr>
        <w:t xml:space="preserve">
      Нрад – доплата за работу на территориях радиационного риска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 рассчитывается по формуле: </w:t>
      </w:r>
    </w:p>
    <w:bookmarkEnd w:id="98"/>
    <w:bookmarkStart w:name="z105" w:id="99"/>
    <w:p>
      <w:pPr>
        <w:spacing w:after="0"/>
        <w:ind w:left="0"/>
        <w:jc w:val="both"/>
      </w:pPr>
      <w:r>
        <w:rPr>
          <w:rFonts w:ascii="Times New Roman"/>
          <w:b w:val="false"/>
          <w:i w:val="false"/>
          <w:color w:val="000000"/>
          <w:sz w:val="28"/>
        </w:rPr>
        <w:t>
      Нрад = L4 *1-2МРП (имеющих установленную доплату), где:</w:t>
      </w:r>
    </w:p>
    <w:bookmarkEnd w:id="99"/>
    <w:bookmarkStart w:name="z106" w:id="100"/>
    <w:p>
      <w:pPr>
        <w:spacing w:after="0"/>
        <w:ind w:left="0"/>
        <w:jc w:val="both"/>
      </w:pPr>
      <w:r>
        <w:rPr>
          <w:rFonts w:ascii="Times New Roman"/>
          <w:b w:val="false"/>
          <w:i w:val="false"/>
          <w:color w:val="000000"/>
          <w:sz w:val="28"/>
        </w:rPr>
        <w:t>
      L4 – количество тренерско-преподавательских ставок для осуществления процесса;</w:t>
      </w:r>
    </w:p>
    <w:bookmarkEnd w:id="100"/>
    <w:bookmarkStart w:name="z107" w:id="101"/>
    <w:p>
      <w:pPr>
        <w:spacing w:after="0"/>
        <w:ind w:left="0"/>
        <w:jc w:val="both"/>
      </w:pPr>
      <w:r>
        <w:rPr>
          <w:rFonts w:ascii="Times New Roman"/>
          <w:b w:val="false"/>
          <w:i w:val="false"/>
          <w:color w:val="000000"/>
          <w:sz w:val="28"/>
        </w:rPr>
        <w:t>
      Нзвание – надбавка за спортивное звание и рассчитывается по формуле:</w:t>
      </w:r>
    </w:p>
    <w:bookmarkEnd w:id="101"/>
    <w:bookmarkStart w:name="z108" w:id="102"/>
    <w:p>
      <w:pPr>
        <w:spacing w:after="0"/>
        <w:ind w:left="0"/>
        <w:jc w:val="both"/>
      </w:pPr>
      <w:r>
        <w:rPr>
          <w:rFonts w:ascii="Times New Roman"/>
          <w:b w:val="false"/>
          <w:i w:val="false"/>
          <w:color w:val="000000"/>
          <w:sz w:val="28"/>
        </w:rPr>
        <w:t>
      Нзвание = L5 *0,17*БДО (имеющих установленную надбавку), где:</w:t>
      </w:r>
    </w:p>
    <w:bookmarkEnd w:id="102"/>
    <w:bookmarkStart w:name="z109" w:id="103"/>
    <w:p>
      <w:pPr>
        <w:spacing w:after="0"/>
        <w:ind w:left="0"/>
        <w:jc w:val="both"/>
      </w:pPr>
      <w:r>
        <w:rPr>
          <w:rFonts w:ascii="Times New Roman"/>
          <w:b w:val="false"/>
          <w:i w:val="false"/>
          <w:color w:val="000000"/>
          <w:sz w:val="28"/>
        </w:rPr>
        <w:t>
      L5 – количество тренерско-преподавательских ставок для осуществления процесса;</w:t>
      </w:r>
    </w:p>
    <w:bookmarkEnd w:id="103"/>
    <w:bookmarkStart w:name="z110" w:id="104"/>
    <w:p>
      <w:pPr>
        <w:spacing w:after="0"/>
        <w:ind w:left="0"/>
        <w:jc w:val="both"/>
      </w:pPr>
      <w:r>
        <w:rPr>
          <w:rFonts w:ascii="Times New Roman"/>
          <w:b w:val="false"/>
          <w:i w:val="false"/>
          <w:color w:val="000000"/>
          <w:sz w:val="28"/>
        </w:rPr>
        <w:t>
      НквалТ – доплата за квалификационный тест "Национальный стандарт спортивной подготовки" и рассчитывается по формуле:</w:t>
      </w:r>
    </w:p>
    <w:bookmarkEnd w:id="104"/>
    <w:bookmarkStart w:name="z111" w:id="105"/>
    <w:p>
      <w:pPr>
        <w:spacing w:after="0"/>
        <w:ind w:left="0"/>
        <w:jc w:val="both"/>
      </w:pPr>
      <w:r>
        <w:rPr>
          <w:rFonts w:ascii="Times New Roman"/>
          <w:b w:val="false"/>
          <w:i w:val="false"/>
          <w:color w:val="000000"/>
          <w:sz w:val="28"/>
        </w:rPr>
        <w:t>
      НквалТ = L6*Qмес *0,3 (имеющих установленную доплату), где:</w:t>
      </w:r>
    </w:p>
    <w:bookmarkEnd w:id="105"/>
    <w:bookmarkStart w:name="z112" w:id="106"/>
    <w:p>
      <w:pPr>
        <w:spacing w:after="0"/>
        <w:ind w:left="0"/>
        <w:jc w:val="both"/>
      </w:pPr>
      <w:r>
        <w:rPr>
          <w:rFonts w:ascii="Times New Roman"/>
          <w:b w:val="false"/>
          <w:i w:val="false"/>
          <w:color w:val="000000"/>
          <w:sz w:val="28"/>
        </w:rPr>
        <w:t>
      L6 – количество тренерско-преподавательских ставок для осуществления процесса.</w:t>
      </w:r>
    </w:p>
    <w:bookmarkEnd w:id="106"/>
    <w:bookmarkStart w:name="z113" w:id="107"/>
    <w:p>
      <w:pPr>
        <w:spacing w:after="0"/>
        <w:ind w:left="0"/>
        <w:jc w:val="both"/>
      </w:pPr>
      <w:r>
        <w:rPr>
          <w:rFonts w:ascii="Times New Roman"/>
          <w:b w:val="false"/>
          <w:i w:val="false"/>
          <w:color w:val="000000"/>
          <w:sz w:val="28"/>
        </w:rPr>
        <w:t>
      Н10 – доплата за особые условия труда и рассчитывается по формуле:</w:t>
      </w:r>
    </w:p>
    <w:bookmarkEnd w:id="107"/>
    <w:bookmarkStart w:name="z114" w:id="108"/>
    <w:p>
      <w:pPr>
        <w:spacing w:after="0"/>
        <w:ind w:left="0"/>
        <w:jc w:val="both"/>
      </w:pPr>
      <w:r>
        <w:rPr>
          <w:rFonts w:ascii="Times New Roman"/>
          <w:b w:val="false"/>
          <w:i w:val="false"/>
          <w:color w:val="000000"/>
          <w:sz w:val="28"/>
        </w:rPr>
        <w:t>
      Н10 = L7 * 0,1*Qмес, где:</w:t>
      </w:r>
    </w:p>
    <w:bookmarkEnd w:id="108"/>
    <w:bookmarkStart w:name="z115" w:id="109"/>
    <w:p>
      <w:pPr>
        <w:spacing w:after="0"/>
        <w:ind w:left="0"/>
        <w:jc w:val="both"/>
      </w:pPr>
      <w:r>
        <w:rPr>
          <w:rFonts w:ascii="Times New Roman"/>
          <w:b w:val="false"/>
          <w:i w:val="false"/>
          <w:color w:val="000000"/>
          <w:sz w:val="28"/>
        </w:rPr>
        <w:t>
      L7 – количество тренерско-преподавательских ставок для осуществления процесса;</w:t>
      </w:r>
    </w:p>
    <w:bookmarkEnd w:id="109"/>
    <w:bookmarkStart w:name="z116" w:id="110"/>
    <w:p>
      <w:pPr>
        <w:spacing w:after="0"/>
        <w:ind w:left="0"/>
        <w:jc w:val="both"/>
      </w:pPr>
      <w:r>
        <w:rPr>
          <w:rFonts w:ascii="Times New Roman"/>
          <w:b w:val="false"/>
          <w:i w:val="false"/>
          <w:color w:val="000000"/>
          <w:sz w:val="28"/>
        </w:rPr>
        <w:t>
      Нутп – доплата за непосредственное обеспечение высококачественного учебно-тренировочного процесса и за подготовку чемпионов и призеров спортивных соревнований рассчитывается:</w:t>
      </w:r>
    </w:p>
    <w:bookmarkEnd w:id="110"/>
    <w:bookmarkStart w:name="z117" w:id="111"/>
    <w:p>
      <w:pPr>
        <w:spacing w:after="0"/>
        <w:ind w:left="0"/>
        <w:jc w:val="both"/>
      </w:pPr>
      <w:r>
        <w:rPr>
          <w:rFonts w:ascii="Times New Roman"/>
          <w:b w:val="false"/>
          <w:i w:val="false"/>
          <w:color w:val="000000"/>
          <w:sz w:val="28"/>
        </w:rPr>
        <w:t>
      Нутп = L8 * 0,7 *Qмес, где:</w:t>
      </w:r>
    </w:p>
    <w:bookmarkEnd w:id="111"/>
    <w:bookmarkStart w:name="z118" w:id="112"/>
    <w:p>
      <w:pPr>
        <w:spacing w:after="0"/>
        <w:ind w:left="0"/>
        <w:jc w:val="both"/>
      </w:pPr>
      <w:r>
        <w:rPr>
          <w:rFonts w:ascii="Times New Roman"/>
          <w:b w:val="false"/>
          <w:i w:val="false"/>
          <w:color w:val="000000"/>
          <w:sz w:val="28"/>
        </w:rPr>
        <w:t>
      L8 – количество тренерско-преподавательских ставок для осуществления процесса;</w:t>
      </w:r>
    </w:p>
    <w:bookmarkEnd w:id="112"/>
    <w:bookmarkStart w:name="z119" w:id="113"/>
    <w:p>
      <w:pPr>
        <w:spacing w:after="0"/>
        <w:ind w:left="0"/>
        <w:jc w:val="both"/>
      </w:pPr>
      <w:r>
        <w:rPr>
          <w:rFonts w:ascii="Times New Roman"/>
          <w:b w:val="false"/>
          <w:i w:val="false"/>
          <w:color w:val="000000"/>
          <w:sz w:val="28"/>
        </w:rPr>
        <w:t>
      данная доплата зависит от достигнутых результатов спортсменов, подтверждаемых протоколами спортивных соревнований.</w:t>
      </w:r>
    </w:p>
    <w:bookmarkEnd w:id="113"/>
    <w:bookmarkStart w:name="z120" w:id="114"/>
    <w:p>
      <w:pPr>
        <w:spacing w:after="0"/>
        <w:ind w:left="0"/>
        <w:jc w:val="both"/>
      </w:pPr>
      <w:r>
        <w:rPr>
          <w:rFonts w:ascii="Times New Roman"/>
          <w:b w:val="false"/>
          <w:i w:val="false"/>
          <w:color w:val="000000"/>
          <w:sz w:val="28"/>
        </w:rPr>
        <w:t>
      Расчет суммы пособия на оздоровление к ежегодному оплачиваемому трудовому отпуску тренерско-преподавательского состава в размере одного ДО осуществляется по следующей формуле:</w:t>
      </w:r>
    </w:p>
    <w:bookmarkEnd w:id="114"/>
    <w:bookmarkStart w:name="z121" w:id="115"/>
    <w:p>
      <w:pPr>
        <w:spacing w:after="0"/>
        <w:ind w:left="0"/>
        <w:jc w:val="both"/>
      </w:pPr>
      <w:r>
        <w:rPr>
          <w:rFonts w:ascii="Times New Roman"/>
          <w:b w:val="false"/>
          <w:i w:val="false"/>
          <w:color w:val="000000"/>
          <w:sz w:val="28"/>
        </w:rPr>
        <w:t>
      ∑PO = Qмес.тр.сост.+ Нсел+Нэко;</w:t>
      </w:r>
    </w:p>
    <w:bookmarkEnd w:id="115"/>
    <w:bookmarkStart w:name="z122" w:id="116"/>
    <w:p>
      <w:pPr>
        <w:spacing w:after="0"/>
        <w:ind w:left="0"/>
        <w:jc w:val="both"/>
      </w:pPr>
      <w:r>
        <w:rPr>
          <w:rFonts w:ascii="Times New Roman"/>
          <w:b w:val="false"/>
          <w:i w:val="false"/>
          <w:color w:val="000000"/>
          <w:sz w:val="28"/>
        </w:rPr>
        <w:t>
      Расчет фонда заработной платы административно-управленческого персонала осуществляется по следующей формуле:</w:t>
      </w:r>
    </w:p>
    <w:bookmarkEnd w:id="116"/>
    <w:bookmarkStart w:name="z123" w:id="117"/>
    <w:p>
      <w:pPr>
        <w:spacing w:after="0"/>
        <w:ind w:left="0"/>
        <w:jc w:val="both"/>
      </w:pPr>
      <w:r>
        <w:rPr>
          <w:rFonts w:ascii="Times New Roman"/>
          <w:b w:val="false"/>
          <w:i w:val="false"/>
          <w:color w:val="000000"/>
          <w:sz w:val="28"/>
        </w:rPr>
        <w:t>
      ФОТауп = (Qгод ауп +∑PO), где:</w:t>
      </w:r>
    </w:p>
    <w:bookmarkEnd w:id="117"/>
    <w:bookmarkStart w:name="z124" w:id="118"/>
    <w:p>
      <w:pPr>
        <w:spacing w:after="0"/>
        <w:ind w:left="0"/>
        <w:jc w:val="both"/>
      </w:pPr>
      <w:r>
        <w:rPr>
          <w:rFonts w:ascii="Times New Roman"/>
          <w:b w:val="false"/>
          <w:i w:val="false"/>
          <w:color w:val="000000"/>
          <w:sz w:val="28"/>
        </w:rPr>
        <w:t>
      Qгод ауп – заработная плата административно-управленческого персонала в год с налоговой нагрузкой в теңге, расчет по формуле:</w:t>
      </w:r>
    </w:p>
    <w:bookmarkEnd w:id="118"/>
    <w:bookmarkStart w:name="z125" w:id="119"/>
    <w:p>
      <w:pPr>
        <w:spacing w:after="0"/>
        <w:ind w:left="0"/>
        <w:jc w:val="both"/>
      </w:pPr>
      <w:r>
        <w:rPr>
          <w:rFonts w:ascii="Times New Roman"/>
          <w:b w:val="false"/>
          <w:i w:val="false"/>
          <w:color w:val="000000"/>
          <w:sz w:val="28"/>
        </w:rPr>
        <w:t>
      Qгод ауп = ((Qмес.адм.перс.+ ∑H)*12)* N1* N2, где:</w:t>
      </w:r>
    </w:p>
    <w:bookmarkEnd w:id="119"/>
    <w:bookmarkStart w:name="z126" w:id="120"/>
    <w:p>
      <w:pPr>
        <w:spacing w:after="0"/>
        <w:ind w:left="0"/>
        <w:jc w:val="both"/>
      </w:pPr>
      <w:r>
        <w:rPr>
          <w:rFonts w:ascii="Times New Roman"/>
          <w:b w:val="false"/>
          <w:i w:val="false"/>
          <w:color w:val="000000"/>
          <w:sz w:val="28"/>
        </w:rPr>
        <w:t>
      Qмес.адм.перс. – ДО административно-управленческого персонала согласно штатному расписанию в месяц, в теңге.</w:t>
      </w:r>
    </w:p>
    <w:bookmarkEnd w:id="120"/>
    <w:bookmarkStart w:name="z127" w:id="121"/>
    <w:p>
      <w:pPr>
        <w:spacing w:after="0"/>
        <w:ind w:left="0"/>
        <w:jc w:val="both"/>
      </w:pPr>
      <w:r>
        <w:rPr>
          <w:rFonts w:ascii="Times New Roman"/>
          <w:b w:val="false"/>
          <w:i w:val="false"/>
          <w:color w:val="000000"/>
          <w:sz w:val="28"/>
        </w:rPr>
        <w:t>
      7. Норма расходов на материально-техническое обеспечение (далее – МТО) на одного обучающегося в год, осуществляется по следующей формуле:</w:t>
      </w:r>
    </w:p>
    <w:bookmarkEnd w:id="121"/>
    <w:bookmarkStart w:name="z128" w:id="122"/>
    <w:p>
      <w:pPr>
        <w:spacing w:after="0"/>
        <w:ind w:left="0"/>
        <w:jc w:val="both"/>
      </w:pPr>
      <w:r>
        <w:rPr>
          <w:rFonts w:ascii="Times New Roman"/>
          <w:b w:val="false"/>
          <w:i w:val="false"/>
          <w:color w:val="000000"/>
          <w:sz w:val="28"/>
        </w:rPr>
        <w:t>
      Vpnfмто = МТО/∑Есвд, где:</w:t>
      </w:r>
    </w:p>
    <w:bookmarkEnd w:id="122"/>
    <w:bookmarkStart w:name="z129" w:id="123"/>
    <w:p>
      <w:pPr>
        <w:spacing w:after="0"/>
        <w:ind w:left="0"/>
        <w:jc w:val="both"/>
      </w:pPr>
      <w:r>
        <w:rPr>
          <w:rFonts w:ascii="Times New Roman"/>
          <w:b w:val="false"/>
          <w:i w:val="false"/>
          <w:color w:val="000000"/>
          <w:sz w:val="28"/>
        </w:rPr>
        <w:t>
      МТО – норма затрат на материально-техническое оснащение (обеспечение экипировкой и инвентарем) и рассчитывается по контингенту обучающихся по видам спорта высших достижений;</w:t>
      </w:r>
    </w:p>
    <w:bookmarkEnd w:id="123"/>
    <w:bookmarkStart w:name="z130" w:id="124"/>
    <w:p>
      <w:pPr>
        <w:spacing w:after="0"/>
        <w:ind w:left="0"/>
        <w:jc w:val="both"/>
      </w:pPr>
      <w:r>
        <w:rPr>
          <w:rFonts w:ascii="Times New Roman"/>
          <w:b w:val="false"/>
          <w:i w:val="false"/>
          <w:color w:val="000000"/>
          <w:sz w:val="28"/>
        </w:rPr>
        <w:t>
      норма затрат на МТО по затратности вида спорта осуществляется по следующей формуле:</w:t>
      </w:r>
    </w:p>
    <w:bookmarkEnd w:id="124"/>
    <w:bookmarkStart w:name="z131" w:id="125"/>
    <w:p>
      <w:pPr>
        <w:spacing w:after="0"/>
        <w:ind w:left="0"/>
        <w:jc w:val="both"/>
      </w:pPr>
      <w:r>
        <w:rPr>
          <w:rFonts w:ascii="Times New Roman"/>
          <w:b w:val="false"/>
          <w:i w:val="false"/>
          <w:color w:val="000000"/>
          <w:sz w:val="28"/>
        </w:rPr>
        <w:t>
      МТО = ((NGvs1*ЕGvs1) +(NGvs2*ЕGvs2) +(NGvs3*ЕGvs3)), где:</w:t>
      </w:r>
    </w:p>
    <w:bookmarkEnd w:id="125"/>
    <w:bookmarkStart w:name="z132" w:id="126"/>
    <w:p>
      <w:pPr>
        <w:spacing w:after="0"/>
        <w:ind w:left="0"/>
        <w:jc w:val="both"/>
      </w:pPr>
      <w:r>
        <w:rPr>
          <w:rFonts w:ascii="Times New Roman"/>
          <w:b w:val="false"/>
          <w:i w:val="false"/>
          <w:color w:val="000000"/>
          <w:sz w:val="28"/>
        </w:rPr>
        <w:t>
      NGvs1 – средний норматив стоимости многозатратных видов спорта;</w:t>
      </w:r>
    </w:p>
    <w:bookmarkEnd w:id="126"/>
    <w:bookmarkStart w:name="z133" w:id="127"/>
    <w:p>
      <w:pPr>
        <w:spacing w:after="0"/>
        <w:ind w:left="0"/>
        <w:jc w:val="both"/>
      </w:pPr>
      <w:r>
        <w:rPr>
          <w:rFonts w:ascii="Times New Roman"/>
          <w:b w:val="false"/>
          <w:i w:val="false"/>
          <w:color w:val="000000"/>
          <w:sz w:val="28"/>
        </w:rPr>
        <w:t>
      EGvs1 – контингент, зачисленный в государственную ДЮСШ, относящейся к группе Gvs1;</w:t>
      </w:r>
    </w:p>
    <w:bookmarkEnd w:id="127"/>
    <w:bookmarkStart w:name="z134" w:id="128"/>
    <w:p>
      <w:pPr>
        <w:spacing w:after="0"/>
        <w:ind w:left="0"/>
        <w:jc w:val="both"/>
      </w:pPr>
      <w:r>
        <w:rPr>
          <w:rFonts w:ascii="Times New Roman"/>
          <w:b w:val="false"/>
          <w:i w:val="false"/>
          <w:color w:val="000000"/>
          <w:sz w:val="28"/>
        </w:rPr>
        <w:t>
      NGvs2 – средний норматив стоимости среднезатратных видов спорта;</w:t>
      </w:r>
    </w:p>
    <w:bookmarkEnd w:id="128"/>
    <w:bookmarkStart w:name="z135" w:id="129"/>
    <w:p>
      <w:pPr>
        <w:spacing w:after="0"/>
        <w:ind w:left="0"/>
        <w:jc w:val="both"/>
      </w:pPr>
      <w:r>
        <w:rPr>
          <w:rFonts w:ascii="Times New Roman"/>
          <w:b w:val="false"/>
          <w:i w:val="false"/>
          <w:color w:val="000000"/>
          <w:sz w:val="28"/>
        </w:rPr>
        <w:t>
      ЕGvs2 – контингент, зачисленный в государственную ДЮСШ, относящейся к группе Gvs2;</w:t>
      </w:r>
    </w:p>
    <w:bookmarkEnd w:id="129"/>
    <w:bookmarkStart w:name="z136" w:id="130"/>
    <w:p>
      <w:pPr>
        <w:spacing w:after="0"/>
        <w:ind w:left="0"/>
        <w:jc w:val="both"/>
      </w:pPr>
      <w:r>
        <w:rPr>
          <w:rFonts w:ascii="Times New Roman"/>
          <w:b w:val="false"/>
          <w:i w:val="false"/>
          <w:color w:val="000000"/>
          <w:sz w:val="28"/>
        </w:rPr>
        <w:t>
      NGvs3 – средний норматив стоимости малозатратных видов спорта;</w:t>
      </w:r>
    </w:p>
    <w:bookmarkEnd w:id="130"/>
    <w:bookmarkStart w:name="z137" w:id="131"/>
    <w:p>
      <w:pPr>
        <w:spacing w:after="0"/>
        <w:ind w:left="0"/>
        <w:jc w:val="both"/>
      </w:pPr>
      <w:r>
        <w:rPr>
          <w:rFonts w:ascii="Times New Roman"/>
          <w:b w:val="false"/>
          <w:i w:val="false"/>
          <w:color w:val="000000"/>
          <w:sz w:val="28"/>
        </w:rPr>
        <w:t>
      ЕGvs3 – контингент, зачисленный в государственную ДЮСШ, относящейся к группе Gvs3.</w:t>
      </w:r>
    </w:p>
    <w:bookmarkEnd w:id="131"/>
    <w:bookmarkStart w:name="z138" w:id="132"/>
    <w:p>
      <w:pPr>
        <w:spacing w:after="0"/>
        <w:ind w:left="0"/>
        <w:jc w:val="both"/>
      </w:pPr>
      <w:r>
        <w:rPr>
          <w:rFonts w:ascii="Times New Roman"/>
          <w:b w:val="false"/>
          <w:i w:val="false"/>
          <w:color w:val="000000"/>
          <w:sz w:val="28"/>
        </w:rPr>
        <w:t xml:space="preserve">
      Виды спорта высших достижений распределяются на три группы (Gvs1, Gvs2, Gvs3,) по каждой из которой определена сумма затрат. В норматив подушевого финансирования включены средства ежегодно в размере 10% от потребности по видам 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Республики Казахстан от 9 июня 2025 года № 82 "Об утверждении натуральных норм обеспечения спортсменов, тренеров и специалистов в области физической культуры и спорта, военнослужащих и сотрудников правоохранительных органов в период подготовки и участия в спортивных мероприятиях, проводимых на территории Республики Казахстан и за ее пределами".</w:t>
      </w:r>
    </w:p>
    <w:bookmarkEnd w:id="132"/>
    <w:bookmarkStart w:name="z139" w:id="133"/>
    <w:p>
      <w:pPr>
        <w:spacing w:after="0"/>
        <w:ind w:left="0"/>
        <w:jc w:val="both"/>
      </w:pPr>
      <w:r>
        <w:rPr>
          <w:rFonts w:ascii="Times New Roman"/>
          <w:b w:val="false"/>
          <w:i w:val="false"/>
          <w:color w:val="000000"/>
          <w:sz w:val="28"/>
        </w:rPr>
        <w:t>
      8. Норма расходов на выездные спортивные мероприятия на одного обучающегося в год осуществляется по следующей формуле:</w:t>
      </w:r>
    </w:p>
    <w:bookmarkEnd w:id="133"/>
    <w:bookmarkStart w:name="z140" w:id="134"/>
    <w:p>
      <w:pPr>
        <w:spacing w:after="0"/>
        <w:ind w:left="0"/>
        <w:jc w:val="both"/>
      </w:pPr>
      <w:r>
        <w:rPr>
          <w:rFonts w:ascii="Times New Roman"/>
          <w:b w:val="false"/>
          <w:i w:val="false"/>
          <w:color w:val="000000"/>
          <w:sz w:val="28"/>
        </w:rPr>
        <w:t>
      VpnfW = Nутс, где:</w:t>
      </w:r>
    </w:p>
    <w:bookmarkEnd w:id="134"/>
    <w:bookmarkStart w:name="z141" w:id="135"/>
    <w:p>
      <w:pPr>
        <w:spacing w:after="0"/>
        <w:ind w:left="0"/>
        <w:jc w:val="both"/>
      </w:pPr>
      <w:r>
        <w:rPr>
          <w:rFonts w:ascii="Times New Roman"/>
          <w:b w:val="false"/>
          <w:i w:val="false"/>
          <w:color w:val="000000"/>
          <w:sz w:val="28"/>
        </w:rPr>
        <w:t>
      Nутс – норма выезда, в теңге.</w:t>
      </w:r>
    </w:p>
    <w:bookmarkEnd w:id="135"/>
    <w:bookmarkStart w:name="z142" w:id="136"/>
    <w:p>
      <w:pPr>
        <w:spacing w:after="0"/>
        <w:ind w:left="0"/>
        <w:jc w:val="both"/>
      </w:pPr>
      <w:r>
        <w:rPr>
          <w:rFonts w:ascii="Times New Roman"/>
          <w:b w:val="false"/>
          <w:i w:val="false"/>
          <w:color w:val="000000"/>
          <w:sz w:val="28"/>
        </w:rPr>
        <w:t>
      Для расчета компонента затрат на участие в учебно-тренировочных сборах и соревнованиях учитывается:</w:t>
      </w:r>
    </w:p>
    <w:bookmarkEnd w:id="136"/>
    <w:bookmarkStart w:name="z143" w:id="137"/>
    <w:p>
      <w:pPr>
        <w:spacing w:after="0"/>
        <w:ind w:left="0"/>
        <w:jc w:val="both"/>
      </w:pPr>
      <w:r>
        <w:rPr>
          <w:rFonts w:ascii="Times New Roman"/>
          <w:b w:val="false"/>
          <w:i w:val="false"/>
          <w:color w:val="000000"/>
          <w:sz w:val="28"/>
        </w:rPr>
        <w:t>
      Етэ – контингент этапа учебно-тренировочной подготовки;</w:t>
      </w:r>
    </w:p>
    <w:bookmarkEnd w:id="137"/>
    <w:bookmarkStart w:name="z144" w:id="138"/>
    <w:p>
      <w:pPr>
        <w:spacing w:after="0"/>
        <w:ind w:left="0"/>
        <w:jc w:val="both"/>
      </w:pPr>
      <w:r>
        <w:rPr>
          <w:rFonts w:ascii="Times New Roman"/>
          <w:b w:val="false"/>
          <w:i w:val="false"/>
          <w:color w:val="000000"/>
          <w:sz w:val="28"/>
        </w:rPr>
        <w:t>
      Есс – контингент этапа спортивного совершенствования.</w:t>
      </w:r>
    </w:p>
    <w:bookmarkEnd w:id="138"/>
    <w:bookmarkStart w:name="z145" w:id="139"/>
    <w:p>
      <w:pPr>
        <w:spacing w:after="0"/>
        <w:ind w:left="0"/>
        <w:jc w:val="both"/>
      </w:pPr>
      <w:r>
        <w:rPr>
          <w:rFonts w:ascii="Times New Roman"/>
          <w:b w:val="false"/>
          <w:i w:val="false"/>
          <w:color w:val="000000"/>
          <w:sz w:val="28"/>
        </w:rPr>
        <w:t>
      W – компонента затрат на участие в учебно-тренировочных сборах и соревнованиях, расчет по формуле:</w:t>
      </w:r>
    </w:p>
    <w:bookmarkEnd w:id="139"/>
    <w:bookmarkStart w:name="z146" w:id="140"/>
    <w:p>
      <w:pPr>
        <w:spacing w:after="0"/>
        <w:ind w:left="0"/>
        <w:jc w:val="both"/>
      </w:pPr>
      <w:r>
        <w:rPr>
          <w:rFonts w:ascii="Times New Roman"/>
          <w:b w:val="false"/>
          <w:i w:val="false"/>
          <w:color w:val="000000"/>
          <w:sz w:val="28"/>
        </w:rPr>
        <w:t>
      W = (Етэ+Есс) *Nутс.</w:t>
      </w:r>
    </w:p>
    <w:bookmarkEnd w:id="140"/>
    <w:bookmarkStart w:name="z147" w:id="141"/>
    <w:p>
      <w:pPr>
        <w:spacing w:after="0"/>
        <w:ind w:left="0"/>
        <w:jc w:val="both"/>
      </w:pPr>
      <w:r>
        <w:rPr>
          <w:rFonts w:ascii="Times New Roman"/>
          <w:b w:val="false"/>
          <w:i w:val="false"/>
          <w:color w:val="000000"/>
          <w:sz w:val="28"/>
        </w:rPr>
        <w:t>
      Расчет Nутс осуществляется по следующей формуле:</w:t>
      </w:r>
    </w:p>
    <w:bookmarkEnd w:id="141"/>
    <w:bookmarkStart w:name="z148" w:id="142"/>
    <w:p>
      <w:pPr>
        <w:spacing w:after="0"/>
        <w:ind w:left="0"/>
        <w:jc w:val="both"/>
      </w:pPr>
      <w:r>
        <w:rPr>
          <w:rFonts w:ascii="Times New Roman"/>
          <w:b w:val="false"/>
          <w:i w:val="false"/>
          <w:color w:val="000000"/>
          <w:sz w:val="28"/>
        </w:rPr>
        <w:t>
      Nутс = (2МРП+3МРП) *6 дней+5,194МРП, где:</w:t>
      </w:r>
    </w:p>
    <w:bookmarkEnd w:id="142"/>
    <w:bookmarkStart w:name="z149" w:id="143"/>
    <w:p>
      <w:pPr>
        <w:spacing w:after="0"/>
        <w:ind w:left="0"/>
        <w:jc w:val="both"/>
      </w:pPr>
      <w:r>
        <w:rPr>
          <w:rFonts w:ascii="Times New Roman"/>
          <w:b w:val="false"/>
          <w:i w:val="false"/>
          <w:color w:val="000000"/>
          <w:sz w:val="28"/>
        </w:rPr>
        <w:t>
      среднегодовая норма дней выезжающего контингента составляет 6 (шесть) дней;</w:t>
      </w:r>
    </w:p>
    <w:bookmarkEnd w:id="143"/>
    <w:bookmarkStart w:name="z150" w:id="144"/>
    <w:p>
      <w:pPr>
        <w:spacing w:after="0"/>
        <w:ind w:left="0"/>
        <w:jc w:val="both"/>
      </w:pPr>
      <w:r>
        <w:rPr>
          <w:rFonts w:ascii="Times New Roman"/>
          <w:b w:val="false"/>
          <w:i w:val="false"/>
          <w:color w:val="000000"/>
          <w:sz w:val="28"/>
        </w:rPr>
        <w:t>
      норма питания на один день командирования определена как: 2 МРП;</w:t>
      </w:r>
    </w:p>
    <w:bookmarkEnd w:id="144"/>
    <w:bookmarkStart w:name="z151" w:id="145"/>
    <w:p>
      <w:pPr>
        <w:spacing w:after="0"/>
        <w:ind w:left="0"/>
        <w:jc w:val="both"/>
      </w:pPr>
      <w:r>
        <w:rPr>
          <w:rFonts w:ascii="Times New Roman"/>
          <w:b w:val="false"/>
          <w:i w:val="false"/>
          <w:color w:val="000000"/>
          <w:sz w:val="28"/>
        </w:rPr>
        <w:t>
      норма проживания на один день командирования определена как: 3 МРП;</w:t>
      </w:r>
    </w:p>
    <w:bookmarkEnd w:id="145"/>
    <w:bookmarkStart w:name="z152" w:id="146"/>
    <w:p>
      <w:pPr>
        <w:spacing w:after="0"/>
        <w:ind w:left="0"/>
        <w:jc w:val="both"/>
      </w:pPr>
      <w:r>
        <w:rPr>
          <w:rFonts w:ascii="Times New Roman"/>
          <w:b w:val="false"/>
          <w:i w:val="false"/>
          <w:color w:val="000000"/>
          <w:sz w:val="28"/>
        </w:rPr>
        <w:t>
      норма проезда в две стороны определена как: 5,194 МРП.".</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в государственных детско-</w:t>
            </w:r>
            <w:r>
              <w:br/>
            </w:r>
            <w:r>
              <w:rPr>
                <w:rFonts w:ascii="Times New Roman"/>
                <w:b w:val="false"/>
                <w:i w:val="false"/>
                <w:color w:val="000000"/>
                <w:sz w:val="20"/>
              </w:rPr>
              <w:t>юношеских спортивных школах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по затратности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высших достижений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многозатратный Gvs1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среднезатратный Gvs2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малозатратный Gvs3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Конный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Стрелковые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Баскетбол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на поясах (алыш)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Танцевальный 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Гимнастические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Гребные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на траве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Парусный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Стрельба из лука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пятиборье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Ски-альпинизм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виды боевого единоборства (ММА)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скалолазание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күресі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Коньковые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Фехтование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борьбы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виды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армрестлинг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Пенчак силат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Скейтбординг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r>
    </w:tbl>
    <w:bookmarkStart w:name="z154" w:id="147"/>
    <w:p>
      <w:pPr>
        <w:spacing w:after="0"/>
        <w:ind w:left="0"/>
        <w:jc w:val="both"/>
      </w:pPr>
      <w:r>
        <w:rPr>
          <w:rFonts w:ascii="Times New Roman"/>
          <w:b w:val="false"/>
          <w:i w:val="false"/>
          <w:color w:val="000000"/>
          <w:sz w:val="28"/>
        </w:rPr>
        <w:t>
      Примечания:</w:t>
      </w:r>
    </w:p>
    <w:bookmarkEnd w:id="147"/>
    <w:bookmarkStart w:name="z155" w:id="148"/>
    <w:p>
      <w:pPr>
        <w:spacing w:after="0"/>
        <w:ind w:left="0"/>
        <w:jc w:val="both"/>
      </w:pPr>
      <w:r>
        <w:rPr>
          <w:rFonts w:ascii="Times New Roman"/>
          <w:b w:val="false"/>
          <w:i w:val="false"/>
          <w:color w:val="000000"/>
          <w:sz w:val="28"/>
        </w:rPr>
        <w:t>
      "малозатратный" Gvs3 – требуется наличие специфичного спортивного инвентаря и оборудования, может быть развернута только на базе действующей инфраструктуры физкультурно-спортивных организаций, организаций образования и культуры, объектов и сооружений спорта;</w:t>
      </w:r>
    </w:p>
    <w:bookmarkEnd w:id="148"/>
    <w:bookmarkStart w:name="z156" w:id="149"/>
    <w:p>
      <w:pPr>
        <w:spacing w:after="0"/>
        <w:ind w:left="0"/>
        <w:jc w:val="both"/>
      </w:pPr>
      <w:r>
        <w:rPr>
          <w:rFonts w:ascii="Times New Roman"/>
          <w:b w:val="false"/>
          <w:i w:val="false"/>
          <w:color w:val="000000"/>
          <w:sz w:val="28"/>
        </w:rPr>
        <w:t>
      "среднезатратный" Gvs2 – требуется наличие специфичного спортивного инвентаря и оборудования, может быть развернута только в специально оборудованных спортивных объектах, узкопрофильно предназначенных для проведения занятий по определенному виду спорта, не связанному с интенсивным использованием воды или созданием искусственного льда;</w:t>
      </w:r>
    </w:p>
    <w:bookmarkEnd w:id="149"/>
    <w:bookmarkStart w:name="z157" w:id="150"/>
    <w:p>
      <w:pPr>
        <w:spacing w:after="0"/>
        <w:ind w:left="0"/>
        <w:jc w:val="both"/>
      </w:pPr>
      <w:r>
        <w:rPr>
          <w:rFonts w:ascii="Times New Roman"/>
          <w:b w:val="false"/>
          <w:i w:val="false"/>
          <w:color w:val="000000"/>
          <w:sz w:val="28"/>
        </w:rPr>
        <w:t>
      "многозатратная" Gvs1 - требуется наличие специфичного спортивного инвентаря и оборудования, может быть развернута только в специально оборудованных спортивных объектах, узкопрофильно предназначенных для проведения занятий по определенному виду спорта, также связанному с интенсивным использованием воды или созданием искусственного льда.</w:t>
      </w:r>
    </w:p>
    <w:bookmarkEnd w:id="150"/>
    <w:bookmarkStart w:name="z158" w:id="151"/>
    <w:p>
      <w:pPr>
        <w:spacing w:after="0"/>
        <w:ind w:left="0"/>
        <w:jc w:val="both"/>
      </w:pPr>
      <w:r>
        <w:rPr>
          <w:rFonts w:ascii="Times New Roman"/>
          <w:b w:val="false"/>
          <w:i w:val="false"/>
          <w:color w:val="000000"/>
          <w:sz w:val="28"/>
        </w:rPr>
        <w:t xml:space="preserve">
      Минимальный возраст детей для зачисления в государственную ДЮСШ регулируется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20 октября 2014 года № 42 "Об утверждении возраста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Республики Казахстан под № 9881).</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в государственных</w:t>
            </w:r>
            <w:r>
              <w:br/>
            </w:r>
            <w:r>
              <w:rPr>
                <w:rFonts w:ascii="Times New Roman"/>
                <w:b w:val="false"/>
                <w:i w:val="false"/>
                <w:color w:val="000000"/>
                <w:sz w:val="20"/>
              </w:rPr>
              <w:t>детско-юношеских спортивных школах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подготовки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 чения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наполняе мость групп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количественный состав группы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наполняе- мость групп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 ный количественный состав группы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наполняе мость групп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количественный состав группы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объҰм учебно- тренировочной нагрузки (час/нед.)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 оздоровительный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Учебно- тренировочный</w:t>
            </w:r>
          </w:p>
          <w:bookmarkEnd w:id="152"/>
          <w:p>
            <w:pPr>
              <w:spacing w:after="20"/>
              <w:ind w:left="20"/>
              <w:jc w:val="both"/>
            </w:pPr>
            <w:r>
              <w:rPr>
                <w:rFonts w:ascii="Times New Roman"/>
                <w:b w:val="false"/>
                <w:i w:val="false"/>
                <w:color w:val="000000"/>
                <w:sz w:val="20"/>
              </w:rPr>
              <w:t>
подготовки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bl>
    <w:bookmarkStart w:name="z161" w:id="153"/>
    <w:p>
      <w:pPr>
        <w:spacing w:after="0"/>
        <w:ind w:left="0"/>
        <w:jc w:val="both"/>
      </w:pPr>
      <w:r>
        <w:rPr>
          <w:rFonts w:ascii="Times New Roman"/>
          <w:b w:val="false"/>
          <w:i w:val="false"/>
          <w:color w:val="000000"/>
          <w:sz w:val="28"/>
        </w:rPr>
        <w:t>
      Примечания:</w:t>
      </w:r>
    </w:p>
    <w:bookmarkEnd w:id="153"/>
    <w:bookmarkStart w:name="z162" w:id="154"/>
    <w:p>
      <w:pPr>
        <w:spacing w:after="0"/>
        <w:ind w:left="0"/>
        <w:jc w:val="both"/>
      </w:pPr>
      <w:r>
        <w:rPr>
          <w:rFonts w:ascii="Times New Roman"/>
          <w:b w:val="false"/>
          <w:i w:val="false"/>
          <w:color w:val="000000"/>
          <w:sz w:val="28"/>
        </w:rPr>
        <w:t>
      Количество человек в группах по видам спорта относящихся к первой, второй, третьей группе:</w:t>
      </w:r>
    </w:p>
    <w:bookmarkEnd w:id="154"/>
    <w:bookmarkStart w:name="z163" w:id="155"/>
    <w:p>
      <w:pPr>
        <w:spacing w:after="0"/>
        <w:ind w:left="0"/>
        <w:jc w:val="both"/>
      </w:pPr>
      <w:r>
        <w:rPr>
          <w:rFonts w:ascii="Times New Roman"/>
          <w:b w:val="false"/>
          <w:i w:val="false"/>
          <w:color w:val="000000"/>
          <w:sz w:val="28"/>
        </w:rPr>
        <w:t>
      1) первая группа: биатлон, гимнастические виды спорта, лыжные виды спорта, коньковые виды спорта, конный спорт, легкая атлетика, парусный спорт, водные виды спорта, спортивное скалолазание, стрельба из лука, дәстүрлі садақ ату, стрелковые виды спорта, современное пятиборье, фехтование, велосипедные виды спорта, триатлон, настольный теннис;</w:t>
      </w:r>
    </w:p>
    <w:bookmarkEnd w:id="155"/>
    <w:bookmarkStart w:name="z164" w:id="156"/>
    <w:p>
      <w:pPr>
        <w:spacing w:after="0"/>
        <w:ind w:left="0"/>
        <w:jc w:val="both"/>
      </w:pPr>
      <w:r>
        <w:rPr>
          <w:rFonts w:ascii="Times New Roman"/>
          <w:b w:val="false"/>
          <w:i w:val="false"/>
          <w:color w:val="000000"/>
          <w:sz w:val="28"/>
        </w:rPr>
        <w:t>
      2) вторая группа: все остальные виды спорта входящие в спорт высших достижений;</w:t>
      </w:r>
    </w:p>
    <w:bookmarkEnd w:id="156"/>
    <w:bookmarkStart w:name="z165" w:id="157"/>
    <w:p>
      <w:pPr>
        <w:spacing w:after="0"/>
        <w:ind w:left="0"/>
        <w:jc w:val="both"/>
      </w:pPr>
      <w:r>
        <w:rPr>
          <w:rFonts w:ascii="Times New Roman"/>
          <w:b w:val="false"/>
          <w:i w:val="false"/>
          <w:color w:val="000000"/>
          <w:sz w:val="28"/>
        </w:rPr>
        <w:t>
      3) третья группа: бәйге, аударыспак, теңге ілу, жамбы ату, гребные виды спорта, пляжный волейбол, теннис, құсбегілік.</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