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d887" w14:textId="5d3d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июня 2025 года № 325 "О некоторых вопросах бюджетного кредитования"</w:t>
      </w:r>
    </w:p>
    <w:p>
      <w:pPr>
        <w:spacing w:after="0"/>
        <w:ind w:left="0"/>
        <w:jc w:val="both"/>
      </w:pPr>
      <w:r>
        <w:rPr>
          <w:rFonts w:ascii="Times New Roman"/>
          <w:b w:val="false"/>
          <w:i w:val="false"/>
          <w:color w:val="000000"/>
          <w:sz w:val="28"/>
        </w:rPr>
        <w:t>Приказ и.о. Министра финансов Республики Казахстан от 3 июля 2026 года № 457. Зарегистрирован в Министерстве юстиции Республики Казахстан 7 июля 2026 года № 39235</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июня 2025 года № 325 "О некоторых вопросах бюджетного кредитования" (зарегистрирован в Реестре нормативных правовых актах под № 36331)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по предоставлению бюджетных кредитов, в том числе перечня документов, необходимых при их представлении, а также способы предоставления бюджетного кредита, графика погашения и обслуживания бюджетного кредита, процедуры реструктуризации бюджетного кредита и замены заемщика, условий исковой давности, условия перевода долга по бюджетному кредиту, прекращения требований кредиторов и прекращения гарантии по бюджетным кредитам, процедуры контроля по бюджетным кредитам,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интегрированная автоматизированная цифровая система "е-Минфин" (далее – ИАЦС "е-Минфин") – цифровая система, предназначенная для комплексной автоматизации бизнес-процессов Министерства финансов Республики Казахстан по исполнению государственных функций и предоставлению государственных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"7) цифровая система заемщика/поверенного (агента)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"7. В зависимости от срока предоставления бюджетные кредиты подразделяются на следующие виды:</w:t>
      </w:r>
    </w:p>
    <w:bookmarkEnd w:id="6"/>
    <w:bookmarkStart w:name="z14" w:id="7"/>
    <w:p>
      <w:pPr>
        <w:spacing w:after="0"/>
        <w:ind w:left="0"/>
        <w:jc w:val="both"/>
      </w:pPr>
      <w:r>
        <w:rPr>
          <w:rFonts w:ascii="Times New Roman"/>
          <w:b w:val="false"/>
          <w:i w:val="false"/>
          <w:color w:val="000000"/>
          <w:sz w:val="28"/>
        </w:rPr>
        <w:t>
      1) краткосрочные – до 1 года;</w:t>
      </w:r>
    </w:p>
    <w:bookmarkEnd w:id="7"/>
    <w:bookmarkStart w:name="z15" w:id="8"/>
    <w:p>
      <w:pPr>
        <w:spacing w:after="0"/>
        <w:ind w:left="0"/>
        <w:jc w:val="both"/>
      </w:pPr>
      <w:r>
        <w:rPr>
          <w:rFonts w:ascii="Times New Roman"/>
          <w:b w:val="false"/>
          <w:i w:val="false"/>
          <w:color w:val="000000"/>
          <w:sz w:val="28"/>
        </w:rPr>
        <w:t>
      2) среднесрочные – от 1 года до 5 лет;</w:t>
      </w:r>
    </w:p>
    <w:bookmarkEnd w:id="8"/>
    <w:bookmarkStart w:name="z16" w:id="9"/>
    <w:p>
      <w:pPr>
        <w:spacing w:after="0"/>
        <w:ind w:left="0"/>
        <w:jc w:val="both"/>
      </w:pPr>
      <w:r>
        <w:rPr>
          <w:rFonts w:ascii="Times New Roman"/>
          <w:b w:val="false"/>
          <w:i w:val="false"/>
          <w:color w:val="000000"/>
          <w:sz w:val="28"/>
        </w:rPr>
        <w:t>
      3) долгосрочные – от 5 года до 10 лет.</w:t>
      </w:r>
    </w:p>
    <w:bookmarkEnd w:id="9"/>
    <w:bookmarkStart w:name="z17" w:id="10"/>
    <w:p>
      <w:pPr>
        <w:spacing w:after="0"/>
        <w:ind w:left="0"/>
        <w:jc w:val="both"/>
      </w:pPr>
      <w:r>
        <w:rPr>
          <w:rFonts w:ascii="Times New Roman"/>
          <w:b w:val="false"/>
          <w:i w:val="false"/>
          <w:color w:val="000000"/>
          <w:sz w:val="28"/>
        </w:rPr>
        <w:t>
      Бюджетные кредиты местным исполнительным органам для реализации мер социальной поддержки специалистов предоставляется на 15 лет.</w:t>
      </w:r>
    </w:p>
    <w:bookmarkEnd w:id="10"/>
    <w:bookmarkStart w:name="z18" w:id="11"/>
    <w:p>
      <w:pPr>
        <w:spacing w:after="0"/>
        <w:ind w:left="0"/>
        <w:jc w:val="both"/>
      </w:pPr>
      <w:r>
        <w:rPr>
          <w:rFonts w:ascii="Times New Roman"/>
          <w:b w:val="false"/>
          <w:i w:val="false"/>
          <w:color w:val="000000"/>
          <w:sz w:val="28"/>
        </w:rPr>
        <w:t>
      Бюджетные кредиты из местного бюджета предоставляются на льготные ипотечные жилищные займы через систему жилищных строительных сбережений на 25 лет.";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"19. Для получения бюджетного кредита конечный заемщик формирует электронную заявку через цифровую систему поверенного (агента)/ заемщика.";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"21. В течение 3 (трех) месяцев со дня подписания кредитного договора заемщик подписывает через ИАЦС "е-Минфин", цифровую систему заемщика/поверенного (агента) соответствующие договоры, обеспечивающие исполнение им обязательств по бюджетному кредиту.";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"24. Погашение основного долга по бюджетным кредитам осуществляется в соответствии с кредитным договором и законодательством Республики Казахстан.</w:t>
      </w:r>
    </w:p>
    <w:bookmarkEnd w:id="14"/>
    <w:bookmarkStart w:name="z25" w:id="15"/>
    <w:p>
      <w:pPr>
        <w:spacing w:after="0"/>
        <w:ind w:left="0"/>
        <w:jc w:val="both"/>
      </w:pPr>
      <w:r>
        <w:rPr>
          <w:rFonts w:ascii="Times New Roman"/>
          <w:b w:val="false"/>
          <w:i w:val="false"/>
          <w:color w:val="000000"/>
          <w:sz w:val="28"/>
        </w:rPr>
        <w:t>
      График погашения и обслуживания бюджетного кредита устанавливает сроки, периодичность платежей по погашению и обслуживанию бюджетного кредита.</w:t>
      </w:r>
    </w:p>
    <w:bookmarkEnd w:id="15"/>
    <w:bookmarkStart w:name="z26" w:id="16"/>
    <w:p>
      <w:pPr>
        <w:spacing w:after="0"/>
        <w:ind w:left="0"/>
        <w:jc w:val="both"/>
      </w:pPr>
      <w:r>
        <w:rPr>
          <w:rFonts w:ascii="Times New Roman"/>
          <w:b w:val="false"/>
          <w:i w:val="false"/>
          <w:color w:val="000000"/>
          <w:sz w:val="28"/>
        </w:rPr>
        <w:t>
      Погашение основного долга по бюджетным кредитам в графике погашения устанавливается равными долями в течение всего срока предоставления бюджетного кредита по истечении льготного периода.</w:t>
      </w:r>
    </w:p>
    <w:bookmarkEnd w:id="16"/>
    <w:bookmarkStart w:name="z27" w:id="17"/>
    <w:p>
      <w:pPr>
        <w:spacing w:after="0"/>
        <w:ind w:left="0"/>
        <w:jc w:val="both"/>
      </w:pPr>
      <w:r>
        <w:rPr>
          <w:rFonts w:ascii="Times New Roman"/>
          <w:b w:val="false"/>
          <w:i w:val="false"/>
          <w:color w:val="000000"/>
          <w:sz w:val="28"/>
        </w:rPr>
        <w:t>
      Погашение основного долга по бюджетным кредитам, предоставленным из местного бюджета на льготные ипотечные жилищные займы через систему жилищных строительных сбережений устанавливается графиком погашения.";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26 изложить в следующей редакции:</w:t>
      </w:r>
    </w:p>
    <w:bookmarkStart w:name="z29" w:id="18"/>
    <w:p>
      <w:pPr>
        <w:spacing w:after="0"/>
        <w:ind w:left="0"/>
        <w:jc w:val="both"/>
      </w:pPr>
      <w:r>
        <w:rPr>
          <w:rFonts w:ascii="Times New Roman"/>
          <w:b w:val="false"/>
          <w:i w:val="false"/>
          <w:color w:val="000000"/>
          <w:sz w:val="28"/>
        </w:rPr>
        <w:t>
      "Заемщик бюджетного кредита, за исключением заемщика бюджетного кредита, предоставленного из местного бюджета на льготные ипотечные жилищные займы через систему жилищных строительных сбережений, при поступлении досрочного погашения от поверенного (агента) и конечных заемщиков обеспечивает их перечисление в республиканский бюджет в течение 90 (девяноста) календарных дней.";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"33. При бюджетном кредитовании физических лиц кредитный договор заключается между поверенным (агентом), по поручению кредитора, и физическим лицом посредством цифровой системы поверенного (агента).";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"36. Поверенный (агент) формирует отчет в цифровой системе по форме, установленной приказом исполняющего обязанности Министра финансов Республики Казахстан от 16 мая 2025 года № 236 "Об утверждении Правил регистрации, учета и мониторинга бюджетных кредитов".";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четвертую часть</w:t>
      </w:r>
      <w:r>
        <w:rPr>
          <w:rFonts w:ascii="Times New Roman"/>
          <w:b w:val="false"/>
          <w:i w:val="false"/>
          <w:color w:val="000000"/>
          <w:sz w:val="28"/>
        </w:rPr>
        <w:t xml:space="preserve"> пункта 49 изложить в следующей редакции:</w:t>
      </w:r>
    </w:p>
    <w:bookmarkStart w:name="z35" w:id="21"/>
    <w:p>
      <w:pPr>
        <w:spacing w:after="0"/>
        <w:ind w:left="0"/>
        <w:jc w:val="both"/>
      </w:pPr>
      <w:r>
        <w:rPr>
          <w:rFonts w:ascii="Times New Roman"/>
          <w:b w:val="false"/>
          <w:i w:val="false"/>
          <w:color w:val="000000"/>
          <w:sz w:val="28"/>
        </w:rPr>
        <w:t>
      "При реструктуризации бюджетного кредита, осуществляемой в соответствии с подпунктом 2) части первой пункта 53 и подпунктом 5) пункта 53 настоящих Процедур, заключение Республиканской бюджетной комиссии к проекту решения центрального уполномоченного органа по исполнению бюджета не требуется."</w:t>
      </w:r>
    </w:p>
    <w:bookmarkEnd w:id="21"/>
    <w:bookmarkStart w:name="z36" w:id="22"/>
    <w:p>
      <w:pPr>
        <w:spacing w:after="0"/>
        <w:ind w:left="0"/>
        <w:jc w:val="both"/>
      </w:pPr>
      <w:r>
        <w:rPr>
          <w:rFonts w:ascii="Times New Roman"/>
          <w:b w:val="false"/>
          <w:i w:val="false"/>
          <w:color w:val="000000"/>
          <w:sz w:val="28"/>
        </w:rPr>
        <w:t xml:space="preserve">
      четвертую часть </w:t>
      </w:r>
      <w:r>
        <w:rPr>
          <w:rFonts w:ascii="Times New Roman"/>
          <w:b w:val="false"/>
          <w:i w:val="false"/>
          <w:color w:val="000000"/>
          <w:sz w:val="28"/>
        </w:rPr>
        <w:t>пункта 53</w:t>
      </w:r>
      <w:r>
        <w:rPr>
          <w:rFonts w:ascii="Times New Roman"/>
          <w:b w:val="false"/>
          <w:i w:val="false"/>
          <w:color w:val="000000"/>
          <w:sz w:val="28"/>
        </w:rPr>
        <w:t xml:space="preserve"> исключить;</w:t>
      </w:r>
    </w:p>
    <w:bookmarkEnd w:id="22"/>
    <w:bookmarkStart w:name="z3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полномочий поверенного (агента), размер и условия оплаты его вознаграждения,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39" w:id="24"/>
    <w:p>
      <w:pPr>
        <w:spacing w:after="0"/>
        <w:ind w:left="0"/>
        <w:jc w:val="both"/>
      </w:pPr>
      <w:r>
        <w:rPr>
          <w:rFonts w:ascii="Times New Roman"/>
          <w:b w:val="false"/>
          <w:i w:val="false"/>
          <w:color w:val="000000"/>
          <w:sz w:val="28"/>
        </w:rPr>
        <w:t>
      "4) цифровая система заемщика/поверенного (агента)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1" w:id="25"/>
    <w:p>
      <w:pPr>
        <w:spacing w:after="0"/>
        <w:ind w:left="0"/>
        <w:jc w:val="both"/>
      </w:pPr>
      <w:r>
        <w:rPr>
          <w:rFonts w:ascii="Times New Roman"/>
          <w:b w:val="false"/>
          <w:i w:val="false"/>
          <w:color w:val="000000"/>
          <w:sz w:val="28"/>
        </w:rPr>
        <w:t>
      "5. Договор поручения с поверенным (агентом) заключается при наличии у него цифровой системы, обеспечивающей контроль за использованием бюджетного кредита по целевому назначению и наличием обеспечения исполнения обязательств.";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"9. Оценка платежеспособности конечного заемщика осуществляется заемщиком/поверенным (агентом) после загрузки финансовых документов в цифровой системе, интегрированной с системами государственных органов.";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5" w:id="27"/>
    <w:p>
      <w:pPr>
        <w:spacing w:after="0"/>
        <w:ind w:left="0"/>
        <w:jc w:val="both"/>
      </w:pPr>
      <w:r>
        <w:rPr>
          <w:rFonts w:ascii="Times New Roman"/>
          <w:b w:val="false"/>
          <w:i w:val="false"/>
          <w:color w:val="000000"/>
          <w:sz w:val="28"/>
        </w:rPr>
        <w:t>
      "11. Учет ссудной задолженности заемщика и распределения платежей ведется в цифровой системе на основании введенных графиков погашения по основному долгу и вознаграждению, являющихся неотъемлемой частью кредитного договора и ежедневных банковских операций (проводках), связанных с выдачей и погашением кредита.";</w:t>
      </w:r>
    </w:p>
    <w:bookmarkEnd w:id="27"/>
    <w:bookmarkStart w:name="z4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использованием бюджетных кредитов по целевому назначению и наличием обеспечения исполнения обязательств по нему, утвержденных указанным приказом:</w:t>
      </w:r>
    </w:p>
    <w:bookmarkEnd w:id="28"/>
    <w:bookmarkStart w:name="z4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9" w:id="30"/>
    <w:p>
      <w:pPr>
        <w:spacing w:after="0"/>
        <w:ind w:left="0"/>
        <w:jc w:val="both"/>
      </w:pPr>
      <w:r>
        <w:rPr>
          <w:rFonts w:ascii="Times New Roman"/>
          <w:b w:val="false"/>
          <w:i w:val="false"/>
          <w:color w:val="000000"/>
          <w:sz w:val="28"/>
        </w:rPr>
        <w:t>
      "4) интегрированная автоматизированная цифровая система "е-Минфин" (далее – ИАЦС "е-Минфин") – цифровая система, предназначенная для комплексной автоматизации бизнес-процессов Министерства финансов Республики Казахстан по исполнению государственных функций и предоставлению государственных услуг;";</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51" w:id="31"/>
    <w:p>
      <w:pPr>
        <w:spacing w:after="0"/>
        <w:ind w:left="0"/>
        <w:jc w:val="both"/>
      </w:pPr>
      <w:r>
        <w:rPr>
          <w:rFonts w:ascii="Times New Roman"/>
          <w:b w:val="false"/>
          <w:i w:val="false"/>
          <w:color w:val="000000"/>
          <w:sz w:val="28"/>
        </w:rPr>
        <w:t>
      "7) цифровая система заемщика/поверенного (агента)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31"/>
    <w:bookmarkStart w:name="z52"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2"/>
    <w:bookmarkStart w:name="z53" w:id="33"/>
    <w:p>
      <w:pPr>
        <w:spacing w:after="0"/>
        <w:ind w:left="0"/>
        <w:jc w:val="both"/>
      </w:pPr>
      <w:r>
        <w:rPr>
          <w:rFonts w:ascii="Times New Roman"/>
          <w:b w:val="false"/>
          <w:i w:val="false"/>
          <w:color w:val="000000"/>
          <w:sz w:val="28"/>
        </w:rPr>
        <w:t>
      "3. Контроль за целевым использованием бюджетного кредита и наличием обеспечения исполнения обязательств по нему осуществляется органом государственного аудита и финансового контроля с использованием ИАЦС "е-Минфин", администратором бюджетной программы, кредитором и (или) поверенным (агентом) с использованием цифровой системы поверенного (агента).";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5" w:id="34"/>
    <w:p>
      <w:pPr>
        <w:spacing w:after="0"/>
        <w:ind w:left="0"/>
        <w:jc w:val="both"/>
      </w:pPr>
      <w:r>
        <w:rPr>
          <w:rFonts w:ascii="Times New Roman"/>
          <w:b w:val="false"/>
          <w:i w:val="false"/>
          <w:color w:val="000000"/>
          <w:sz w:val="28"/>
        </w:rPr>
        <w:t>
      "5. Контроль целевого использования бюджетного кредита конечным заемщиком осуществляется заемщиком/поверенным (агентом) в цифровой системе путем проведения анализа информации, предусмотренной пунктом 6 настоящих Правил.";</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57" w:id="35"/>
    <w:p>
      <w:pPr>
        <w:spacing w:after="0"/>
        <w:ind w:left="0"/>
        <w:jc w:val="both"/>
      </w:pPr>
      <w:r>
        <w:rPr>
          <w:rFonts w:ascii="Times New Roman"/>
          <w:b w:val="false"/>
          <w:i w:val="false"/>
          <w:color w:val="000000"/>
          <w:sz w:val="28"/>
        </w:rPr>
        <w:t>
      "2) первичных документов, подтверждающих целевое использование бюджетного кредита (договора с поставщиками, платежные документы, электронные счета фактуры, зарегистрированные через цифровую систему органов государственных доходов; таможенных документов, содержащие сведения о товарах и иные сведения необходимые для выпуска товаров (таможенная декларация); заявление о ввозе товаров);";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59" w:id="36"/>
    <w:p>
      <w:pPr>
        <w:spacing w:after="0"/>
        <w:ind w:left="0"/>
        <w:jc w:val="both"/>
      </w:pPr>
      <w:r>
        <w:rPr>
          <w:rFonts w:ascii="Times New Roman"/>
          <w:b w:val="false"/>
          <w:i w:val="false"/>
          <w:color w:val="000000"/>
          <w:sz w:val="28"/>
        </w:rPr>
        <w:t>
      "2) результаты анализа сведений, представляемых уполномоченными органами и организациями, в том числе сведений цифровых систем отраслевых ведомств.";</w:t>
      </w:r>
    </w:p>
    <w:bookmarkEnd w:id="36"/>
    <w:bookmarkStart w:name="z60"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2" w:id="38"/>
    <w:p>
      <w:pPr>
        <w:spacing w:after="0"/>
        <w:ind w:left="0"/>
        <w:jc w:val="both"/>
      </w:pPr>
      <w:r>
        <w:rPr>
          <w:rFonts w:ascii="Times New Roman"/>
          <w:b w:val="false"/>
          <w:i w:val="false"/>
          <w:color w:val="000000"/>
          <w:sz w:val="28"/>
        </w:rPr>
        <w:t>
      "4. Администратор бюджетной программы в течение 5 (пяти) рабочих дней осуществляет в интегрированной автоматизированной цифровой системе "е-Минфин" загрузку документов, указанных в пункте 2 настоящих Правил, уполномоченному органу по исполнению бюджета.".</w:t>
      </w:r>
    </w:p>
    <w:bookmarkEnd w:id="38"/>
    <w:bookmarkStart w:name="z63" w:id="39"/>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w:t>
      </w:r>
    </w:p>
    <w:bookmarkEnd w:id="39"/>
    <w:bookmarkStart w:name="z64"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65"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1"/>
    <w:bookmarkStart w:name="z66"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2"/>
    <w:bookmarkStart w:name="z67" w:id="43"/>
    <w:p>
      <w:pPr>
        <w:spacing w:after="0"/>
        <w:ind w:left="0"/>
        <w:jc w:val="both"/>
      </w:pPr>
      <w:r>
        <w:rPr>
          <w:rFonts w:ascii="Times New Roman"/>
          <w:b w:val="false"/>
          <w:i w:val="false"/>
          <w:color w:val="000000"/>
          <w:sz w:val="28"/>
        </w:rPr>
        <w:t>
      3. Настоящий приказ водится в действие по истечении десяти календарных дней после дня его первого официального опубликования, за исключением абзацев пятого, седьмого, шестнадцатого, восемнадцатого, двадцать седьмого, двадцать девятого, тридцать пятого, тридцать седьмого, тридцать девятого, сорок первого, сорок шестого, сорок восьмого, пятидесятого, пятьдесят второго, пятьдесят четвертого, пятьдесят шестого и пятьдесят девятого пункта 1 настоящего приказа, которые вводятся в действие с 12 июля 2026 года и подлежит официальному опубликованию.</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69"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