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6ec5" w14:textId="3156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мая 2026 года № 353. Зарегистрирован в Министерстве юстиции Республики Казахстан 20 мая 2026 года № 38760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 (зарегистрирован в Реестре государственной регистрации нормативных правовых актов за № 10371)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подтверждающие соответствие им, для осуществления охранной деятельности,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за охранной деятельностью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2026 года 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959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охранной деятельности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Должность руководителя частной охранной организации, в том числе филиала и представительства, а также иных руководящих работников охранной организации, задействованных в осуществлении охранной деятельности, не может занимать лицо: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имеющее гражданства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Государственной базы данных "Физические лица" (далее – ГБД ФЛ)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имеющее высшее юридическое образование или стаж работы не менее трех лет на командных должностях в Вооруженных Силах, других войсках и воинских формированиях или на руководящих должностях в правоохранительных и специальных органах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или сведения подтверждающие трудовую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цифровой системы Министерства науки и высшего образования Республики Казахстан или цифровой системы Министерства труда и социальной защиты населения Республики Казахстан (далее – ЦС МТСЗН)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прошедшее специальную подготовку (повышение квалификации)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специализированного учебного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справки из организаций, оказывающих медицинскую помощь в области психического здоровья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цифровой системы Министерства здравоохранения Республики Казахстан (далее – ЦС МЗ)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 судимость за совершение преступления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наличии либо отсутствии судимости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автоматизированной цифровой системы "Специальные учеты" Комитета по правовой статистике и специальным учетам Генеральной прокуратуры Республики Казахстан (далее – АЦС СУ КПСиСУ)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освобожденное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совершении лицом уголовного и/или административного правонарушения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цифрового сервиса Комитета по правовой статистике и специальным учетам Генеральной прокуратуры Республики Казахстан (далее – ЦС КПСиСУ)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которого в течение одного года до принятия на должность охранника или в период нахождения в данной должности за совершение уголовного проступка выносился обвинительный приговор суда, а также в течение одного года до принятия на должность охранника или в период нахождения в данной должности освобожденного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привлеченное к административной ответственности ранее в течение года до принятия на работу охранником или в период нахождения в данной должности за совершение административных правонарушений,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уволенное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подтверждающие трудовую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ЦС КПСиСУ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занимавшее должность охранника частной охранной организации, в период занятия которой с ним был расторгнут трудовой договор по основаниям, предусмотренным подпунктами 9), 10), 11), 12), 15), 16) и 17)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Казахстан, менее трех лет назад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ЦС МТСЗН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Должность охранника частной охранной организации, в том числе филиала и представительства не может занимать лицо: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имеющее гражданства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ГБД ФЛ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моложе 19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прошедшее специальную подготовку (повышение квалификации)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специализированного учебного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справки из организаций, оказывающих медицинскую помощь в области психического здоровья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ЦС МЗ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 судимость за совершение преступления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наличии либо отсутствии судимости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АЦС СУ КПСиСУ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освобожденное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Особенной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совершении лицом уголовного и/или административного правонарушения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ЦС КПСиСУ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которого в течение одного года до принятия на должность охранника или в период нахождения в данной должности за совершение уголовного проступка выносился обвинительный приговор суда, а также в течение одного года до принятия на должность охранника или в период нахождения в данной должности освобожденного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привлеченное к административной ответственности ранее в течение года до принятия на работу охранником или в период нахождения в данной должности за совершение административных правонарушений,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уволенное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подтверждающие трудовую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ЦС КПСиСУ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занимавшее аналогичную должность, в период занятия которой с ним был расторгнут трудовой договор по основаниям, предусмотренным подпунктами 9), 10), 11), 12), 15), 16) и 17)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Казахстан, менее трех лет назад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ЦС МТСЗН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Для охраны объектов, уязвимых в террористическом отношении, частные охранные организации, в том числе филиалы и представительства, а также иные обособленные структурные подразделения частных охранных организаций должны соответствовать требованиям, предусматривающим наличие: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 работы в сфере оказания охранных услуг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цифровой системы "Государственная база данных "Е-лицензирование" (далее – ЦС ГБД ЕЛ)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офисного помещения для размещения пункта централизованной охраны на праве собственности либо аренды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право собственности либо договор аренды, подтверждающие наличие площади для функционирования пункта централизованной охраны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цифровой системы "Единый государственный кадастр недвижимости" либо договор аренды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пульта централизованного 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расстановка.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 (инвентарные номера, накладные, фискальные чеки или другие документы), подтверждающая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компьютерной техники и соответствующего программного обеспечения, осуществляющих прием сигналов с приемно-контрольных приборов, установленных на объектах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собственного сервера для хранения данных с объектов охраны, защищенного аппаратно-программными средствами в соответствии с требованиями в области информационно-коммуникационных технологий и обеспечения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заявителем (лицензиатом) при направлении соответствующих документов по месту осуществления деятельности подразделению лицензиара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использование радиочастотного спектра, выданное соответствующим радиочастотным органом, либо договор на абонентское обслуживание (аренды) радиостанций с частотой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заявителем (лицензиатом) при направлении соответствующих документов по месту осуществления деятельности подразделению лицензиара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мобильных групп (групп оперативного реагирования), обеспечивающих выезд на сигналы тревоги с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не менее двух транспортных средств на праве собственности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заявителем (лицензиатом) при направлении соответствующих документов по месту осуществления деятельности подразделению лицензиара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расстановка и приказы о создании не менее двух мобильных групп (групп оперативного реагирования) и назначении работников исходя из норматива численности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приобретение, хранение, хранение и ношение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ЦС ГБД 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Квалификационные требования, предъявляемые для охранных организаций национальных компаний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предусмотренные главами 1, 2, 3 квалификационных требований, предъявляемых к осуществлению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предусмотренных главами 1, 2, 3 квалификационных требований, предъявляемых к осуществлению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