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41b7" w14:textId="add4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апреля 2026 года № 159. Зарегистрирован в Министерстве юстиции Республики Казахстан 17 апреля 2026 года № 38463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Оплата инжиниринговых услуг в сфере архитектурной, градостроительной и строительной деятельности производится пропорционально стоимости выполненных объемов работ по строительству объектов.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объектов, строящихся с участием государственных инвестиций, оплата расходов на привлечение инжиниринговых услуг осуществляется в рамках лимитов, предусмотренных в проектно-сметной документации на строительство объектов, утвержденной в соответствии с государственными нормативами в области архитектуры, градостроительства и строительства.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проектно-сметной документации на строительство объектов без изменения проектных решений цена ранее заключенного договора на оказание инжиниринговых услуг в сфере архитектурной, градостроительной и строительной деятельности увеличению не подлежит.".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