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41b7" w14:textId="add4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10 апреля 2026 года № 159. Зарегистрирован в Министерстве юстиции Республики Казахстан 17 апреля 2026 года № 38463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Оплата инжиниринговых услуг в сфере архитектурной, градостроительной и строительной деятельности производится пропорционально стоимости выполненных объемов работ по строительству объектов.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объектов, строящихся с участием государственных инвестиций, оплата расходов на привлечение инжиниринговых услуг осуществляется в рамках лимитов, предусмотренных в проектно-сметной документации на строительство объектов, утвержденной в соответствии с государственными нормативами в области архитектуры, градостроительства и строительства.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корректировки проектно-сметной документации на строительство объектов без изменения проектных решений цена ранее заключенного договора на оказание инжиниринговых услуг в сфере архитектурной, градостроительной и строительной деятельности увеличению не подлежит.".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