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869f" w14:textId="c6a8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31 декабря 2025 года № 85. Зарегистрировано в Министерстве юстиции Республики Казахстан 8 января 2026 года № 37823</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развития рынка ценных бумаг, в которые вносятся изменения и дополнение,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декабря 2025 года № 85</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развития рынка ценных бумаг, в которые вносятся изменения и дополнение</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а также Правил,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(зарегистрировано в Реестре государственной регистрации нормативных правовых актов под № 3124)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методике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p>
    <w:bookmarkEnd w:id="10"/>
    <w:bookmarkStart w:name="z17"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"7. Финансовый инструмент, составляющий активы инвестиционного фонда и входящий в список фондовой биржи, оценивается по рыночной цене фондовой биржи или расчетной цене клиринговой организации в соответствии с их внутренними документами либо по данным информационно-аналитических систем Bloomberg (Блумберг) или Reuters (Рейтер).";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"14-1. Расчетная стоимость пая паевого инвестиционного фонда, за исключением пая паевого инвестиционного фонда рискового инвестирования, размещается на официальном интернет-ресурсе управляющей компании не позднее 18:00 следующего рабочего дня.".</w:t>
      </w:r>
    </w:p>
    <w:bookmarkEnd w:id="13"/>
    <w:bookmarkStart w:name="z21"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 (зарегистрировано в Реестре государственной регистрации нормативных правовых актов под № 7540) следующее изменение и дополнение: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"Об инвестиционных и венчурных фондах" (далее - Закон)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инвестирования финансовых инструментов и иного имущества, входящего в состав активов инвестиционного фонда, утвержденные указанным постановлением:</w:t>
      </w:r>
    </w:p>
    <w:bookmarkStart w:name="z25" w:id="16"/>
    <w:p>
      <w:pPr>
        <w:spacing w:after="0"/>
        <w:ind w:left="0"/>
        <w:jc w:val="both"/>
      </w:pPr>
      <w:r>
        <w:rPr>
          <w:rFonts w:ascii="Times New Roman"/>
          <w:b w:val="false"/>
          <w:i w:val="false"/>
          <w:color w:val="000000"/>
          <w:sz w:val="28"/>
        </w:rPr>
        <w:t>
      дополнить пунктом 8-4 следующего содержания:</w:t>
      </w:r>
    </w:p>
    <w:bookmarkEnd w:id="16"/>
    <w:bookmarkStart w:name="z26" w:id="17"/>
    <w:p>
      <w:pPr>
        <w:spacing w:after="0"/>
        <w:ind w:left="0"/>
        <w:jc w:val="both"/>
      </w:pPr>
      <w:r>
        <w:rPr>
          <w:rFonts w:ascii="Times New Roman"/>
          <w:b w:val="false"/>
          <w:i w:val="false"/>
          <w:color w:val="000000"/>
          <w:sz w:val="28"/>
        </w:rPr>
        <w:t>
      "8-4. Суммарные размеры инвестиций за счет активов биржевого паевого инвестиционного фонда (Exchange Traded Fund) (ETF) (Эксчейндж Трэйдэд Фанд) в финансовые инструменты, указанные в пунктах 8-1 и 8-2 Правил, устанавливаются инвестиционной декларацией инвестиционного фонда.".</w:t>
      </w:r>
    </w:p>
    <w:bookmarkEnd w:id="17"/>
    <w:bookmarkStart w:name="z27" w:id="1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июля 2012 года № 228 "Об установлении перечня финансовых инструментов, разрешенных к приобретению только за счет средств квалифицированных инвесторов" (зарегистрировано в Реестре государственной регистрации нормативных правовых актов под №7853)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5-1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 Требования подпунктов 3) и 5) пункта 1 настоящего постановления не распространяются на инвестиции инвестиционного фонда.".</w:t>
      </w:r>
    </w:p>
    <w:bookmarkEnd w:id="20"/>
    <w:bookmarkStart w:name="z32" w:id="2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следующие изменения:</w:t>
      </w:r>
    </w:p>
    <w:bookmarkEnd w:id="21"/>
    <w:bookmarkStart w:name="z3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"8.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(далее – расчетная организация), и (или) иностранной расчетной организации.</w:t>
      </w:r>
    </w:p>
    <w:bookmarkEnd w:id="23"/>
    <w:bookmarkStart w:name="z36" w:id="24"/>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24"/>
    <w:bookmarkStart w:name="z37" w:id="25"/>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25"/>
    <w:bookmarkStart w:name="z38" w:id="26"/>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26"/>
    <w:bookmarkStart w:name="z39" w:id="27"/>
    <w:p>
      <w:pPr>
        <w:spacing w:after="0"/>
        <w:ind w:left="0"/>
        <w:jc w:val="both"/>
      </w:pPr>
      <w:r>
        <w:rPr>
          <w:rFonts w:ascii="Times New Roman"/>
          <w:b w:val="false"/>
          <w:i w:val="false"/>
          <w:color w:val="000000"/>
          <w:sz w:val="28"/>
        </w:rPr>
        <w:t>
      организация, имеющая статус центрального депозитария, иностранный орган надзора страны происхождения которого,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27"/>
    <w:bookmarkStart w:name="z40" w:id="28"/>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28"/>
    <w:bookmarkStart w:name="z41" w:id="29"/>
    <w:p>
      <w:pPr>
        <w:spacing w:after="0"/>
        <w:ind w:left="0"/>
        <w:jc w:val="both"/>
      </w:pPr>
      <w:r>
        <w:rPr>
          <w:rFonts w:ascii="Times New Roman"/>
          <w:b w:val="false"/>
          <w:i w:val="false"/>
          <w:color w:val="000000"/>
          <w:sz w:val="28"/>
        </w:rPr>
        <w:t xml:space="preserve">
      иностранная организация, осуществляющая в соответствии с законодательством страны, в которой она зарегистрирована в качестве юридического лица,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соответствующая следующим условиям:</w:t>
      </w:r>
    </w:p>
    <w:bookmarkEnd w:id="29"/>
    <w:bookmarkStart w:name="z42" w:id="30"/>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30"/>
    <w:bookmarkStart w:name="z43" w:id="31"/>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 и (или) имеется международное соглашение о сотрудничестве и обмене информацией между уполномоченным органом и данным иностранным органом надзора в области надзора за брокерской и (или) дилерской деятельностью;</w:t>
      </w:r>
    </w:p>
    <w:bookmarkEnd w:id="31"/>
    <w:bookmarkStart w:name="z44" w:id="32"/>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w:t>
      </w:r>
    </w:p>
    <w:bookmarkEnd w:id="32"/>
    <w:bookmarkStart w:name="z45" w:id="33"/>
    <w:p>
      <w:pPr>
        <w:spacing w:after="0"/>
        <w:ind w:left="0"/>
        <w:jc w:val="both"/>
      </w:pPr>
      <w:r>
        <w:rPr>
          <w:rFonts w:ascii="Times New Roman"/>
          <w:b w:val="false"/>
          <w:i w:val="false"/>
          <w:color w:val="000000"/>
          <w:sz w:val="28"/>
        </w:rPr>
        <w:t>
      является юридическим лицом, зарегистрированным на территории государства-члена Евразийского экономического союза.";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"12. Допускается совмещение должности первого руководителя брокера и (или) дилера первой категории или его заместителя, курирующего осуществление брокерской и (или) дилерской деятельности, с должностью руководителя одного из подразделений данного брокера и (или) дилера. Не допускается осуществление работниками торгового подразделения функций и обязанностей, относящихся к компетенции бэк-офиса, а также передача (делегирование) прав и полномочий работников одного из подразделений брокера и (или) дилера работникам другого подразделения.</w:t>
      </w:r>
    </w:p>
    <w:bookmarkEnd w:id="34"/>
    <w:bookmarkStart w:name="z48" w:id="35"/>
    <w:p>
      <w:pPr>
        <w:spacing w:after="0"/>
        <w:ind w:left="0"/>
        <w:jc w:val="both"/>
      </w:pPr>
      <w:r>
        <w:rPr>
          <w:rFonts w:ascii="Times New Roman"/>
          <w:b w:val="false"/>
          <w:i w:val="false"/>
          <w:color w:val="000000"/>
          <w:sz w:val="28"/>
        </w:rPr>
        <w:t>
      При совмещении брокером и (или) дилером брокерской и (или) дилерской деятельности с деятельностью по управлению инвестиционным портфелем, не допускается одновременное курирование должностным лицом брокера и (или) дилера вопросов деятельности по управлению инвестиционным портфелем и брокерской и (или) дилерской деятельности, за исключением первого руководителя.</w:t>
      </w:r>
    </w:p>
    <w:bookmarkEnd w:id="35"/>
    <w:bookmarkStart w:name="z49" w:id="36"/>
    <w:p>
      <w:pPr>
        <w:spacing w:after="0"/>
        <w:ind w:left="0"/>
        <w:jc w:val="both"/>
      </w:pPr>
      <w:r>
        <w:rPr>
          <w:rFonts w:ascii="Times New Roman"/>
          <w:b w:val="false"/>
          <w:i w:val="false"/>
          <w:color w:val="000000"/>
          <w:sz w:val="28"/>
        </w:rPr>
        <w:t>
      Внутренние правила брокера и (или) дилера предусматривают согласие со стороны брокера и (или) дилера на предоставление работником брокера и (или) дилера агентских услуг третьим лицам, в том числе по доверенности, осуществляющим деятельность в сфере совершения сделок на валютных и фондовых рынках в целях исключения конфликта интересов.";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"12-1. Брокер и (или) дилер в рамках осуществления должностных обязанностей своих работников, связанных с лицензируемым видом деятельности брокера и (или) дилера, обеспечивает их взаимодействие с клиентами, в том числе потенциальными клиентами, и (или) контрагентами с использованием средств телефонной связи, электронной почты, видеоконференцсвязи или программного обеспечения по обмену текстовыми (голосовыми) сообщениями в режиме реального времени, абонентские номера и (или) адреса электронной почты и (или) доменные адреса которых зарегистрированы на имя брокера и (или) дилера, а также с использованием информационных систем Bloomberg, Reuters (далее – корпоративные средства связи).</w:t>
      </w:r>
    </w:p>
    <w:bookmarkEnd w:id="37"/>
    <w:bookmarkStart w:name="z52" w:id="38"/>
    <w:p>
      <w:pPr>
        <w:spacing w:after="0"/>
        <w:ind w:left="0"/>
        <w:jc w:val="both"/>
      </w:pPr>
      <w:r>
        <w:rPr>
          <w:rFonts w:ascii="Times New Roman"/>
          <w:b w:val="false"/>
          <w:i w:val="false"/>
          <w:color w:val="000000"/>
          <w:sz w:val="28"/>
        </w:rPr>
        <w:t>
      Не допускается использование средств связи, не предусмотренных частью первой настоящего пункта, работниками брокера и (или) дилера с клиентами, в том числе потенциальными клиентами, и (или), контрагентами, отношения с которыми возникают и (или) поддерживаются при исполнении работниками своих должностных обязанностей, связанных с лицензируемым видом деятельности брокера и (или) дилера.</w:t>
      </w:r>
    </w:p>
    <w:bookmarkEnd w:id="38"/>
    <w:bookmarkStart w:name="z53" w:id="39"/>
    <w:p>
      <w:pPr>
        <w:spacing w:after="0"/>
        <w:ind w:left="0"/>
        <w:jc w:val="both"/>
      </w:pPr>
      <w:r>
        <w:rPr>
          <w:rFonts w:ascii="Times New Roman"/>
          <w:b w:val="false"/>
          <w:i w:val="false"/>
          <w:color w:val="000000"/>
          <w:sz w:val="28"/>
        </w:rPr>
        <w:t>
      Брокер и (или) дилер обеспечивает запись, сохранность, конфиденциальность и неизменность информации, получаемой и передаваемой через корпоративные средства связи, а также обеспечивает хранение данной информации в течение пяти лет.</w:t>
      </w:r>
    </w:p>
    <w:bookmarkEnd w:id="39"/>
    <w:bookmarkStart w:name="z54" w:id="40"/>
    <w:p>
      <w:pPr>
        <w:spacing w:after="0"/>
        <w:ind w:left="0"/>
        <w:jc w:val="both"/>
      </w:pPr>
      <w:r>
        <w:rPr>
          <w:rFonts w:ascii="Times New Roman"/>
          <w:b w:val="false"/>
          <w:i w:val="false"/>
          <w:color w:val="000000"/>
          <w:sz w:val="28"/>
        </w:rPr>
        <w:t>
      Обращения и (или) жалобы клиентов получаемые через корпоративные средства связи отражаются во внутреннем журнале учета претензий клиентов и мерах по их удовлетворению с указанием принятых брокером и (или) дилером решений по ним.";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"21. Брокер и (или) дилер, а также его работники не публикуют в масс-медиа и не распространяют любым способом неподтвержденные, недостоверные или вводящие в заблуждение сведения о параметрах сделок с финансовыми инструментами, в том числе о ценах, объемах и контрагентах.";</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"22. При публикации в масс-медиа или иным образом объявлений о своей деятельности брокер и (или) дилер указывает свое полное наименование, а также дату выдачи и номер лицензии на осуществление брокерской и (или) дилерской деятельности.";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"36. Клиентский заказ содержит следующие реквизиты:</w:t>
      </w:r>
    </w:p>
    <w:bookmarkEnd w:id="43"/>
    <w:bookmarkStart w:name="z61" w:id="44"/>
    <w:p>
      <w:pPr>
        <w:spacing w:after="0"/>
        <w:ind w:left="0"/>
        <w:jc w:val="both"/>
      </w:pPr>
      <w:r>
        <w:rPr>
          <w:rFonts w:ascii="Times New Roman"/>
          <w:b w:val="false"/>
          <w:i w:val="false"/>
          <w:color w:val="000000"/>
          <w:sz w:val="28"/>
        </w:rPr>
        <w:t>
      1) указание на вид сделки с финансовыми инструментами, подлежащей совершению в соответствии с данным клиентским заказом;</w:t>
      </w:r>
    </w:p>
    <w:bookmarkEnd w:id="44"/>
    <w:bookmarkStart w:name="z62" w:id="45"/>
    <w:p>
      <w:pPr>
        <w:spacing w:after="0"/>
        <w:ind w:left="0"/>
        <w:jc w:val="both"/>
      </w:pPr>
      <w:r>
        <w:rPr>
          <w:rFonts w:ascii="Times New Roman"/>
          <w:b w:val="false"/>
          <w:i w:val="false"/>
          <w:color w:val="000000"/>
          <w:sz w:val="28"/>
        </w:rPr>
        <w:t>
      2) сведения о клиенте, в интересах которого предполагается совершение сделки с финансовыми инструментами:</w:t>
      </w:r>
    </w:p>
    <w:bookmarkEnd w:id="45"/>
    <w:bookmarkStart w:name="z63" w:id="46"/>
    <w:p>
      <w:pPr>
        <w:spacing w:after="0"/>
        <w:ind w:left="0"/>
        <w:jc w:val="both"/>
      </w:pPr>
      <w:r>
        <w:rPr>
          <w:rFonts w:ascii="Times New Roman"/>
          <w:b w:val="false"/>
          <w:i w:val="false"/>
          <w:color w:val="000000"/>
          <w:sz w:val="28"/>
        </w:rPr>
        <w:t>
      для физического лица:</w:t>
      </w:r>
    </w:p>
    <w:bookmarkEnd w:id="46"/>
    <w:bookmarkStart w:name="z64" w:id="47"/>
    <w:p>
      <w:pPr>
        <w:spacing w:after="0"/>
        <w:ind w:left="0"/>
        <w:jc w:val="both"/>
      </w:pPr>
      <w:r>
        <w:rPr>
          <w:rFonts w:ascii="Times New Roman"/>
          <w:b w:val="false"/>
          <w:i w:val="false"/>
          <w:color w:val="000000"/>
          <w:sz w:val="28"/>
        </w:rPr>
        <w:t>
      фамилия, имя, отчество (при его наличии);</w:t>
      </w:r>
    </w:p>
    <w:bookmarkEnd w:id="47"/>
    <w:bookmarkStart w:name="z65" w:id="48"/>
    <w:p>
      <w:pPr>
        <w:spacing w:after="0"/>
        <w:ind w:left="0"/>
        <w:jc w:val="both"/>
      </w:pPr>
      <w:r>
        <w:rPr>
          <w:rFonts w:ascii="Times New Roman"/>
          <w:b w:val="false"/>
          <w:i w:val="false"/>
          <w:color w:val="000000"/>
          <w:sz w:val="28"/>
        </w:rPr>
        <w:t>
      номер документа, удостоверяющего личность или индивидуальный идентификационный номер;</w:t>
      </w:r>
    </w:p>
    <w:bookmarkEnd w:id="48"/>
    <w:bookmarkStart w:name="z66" w:id="49"/>
    <w:p>
      <w:pPr>
        <w:spacing w:after="0"/>
        <w:ind w:left="0"/>
        <w:jc w:val="both"/>
      </w:pPr>
      <w:r>
        <w:rPr>
          <w:rFonts w:ascii="Times New Roman"/>
          <w:b w:val="false"/>
          <w:i w:val="false"/>
          <w:color w:val="000000"/>
          <w:sz w:val="28"/>
        </w:rPr>
        <w:t>
      для юридического лица:</w:t>
      </w:r>
    </w:p>
    <w:bookmarkEnd w:id="49"/>
    <w:bookmarkStart w:name="z67" w:id="50"/>
    <w:p>
      <w:pPr>
        <w:spacing w:after="0"/>
        <w:ind w:left="0"/>
        <w:jc w:val="both"/>
      </w:pPr>
      <w:r>
        <w:rPr>
          <w:rFonts w:ascii="Times New Roman"/>
          <w:b w:val="false"/>
          <w:i w:val="false"/>
          <w:color w:val="000000"/>
          <w:sz w:val="28"/>
        </w:rPr>
        <w:t>
      наименование;</w:t>
      </w:r>
    </w:p>
    <w:bookmarkEnd w:id="50"/>
    <w:bookmarkStart w:name="z68" w:id="51"/>
    <w:p>
      <w:pPr>
        <w:spacing w:after="0"/>
        <w:ind w:left="0"/>
        <w:jc w:val="both"/>
      </w:pPr>
      <w:r>
        <w:rPr>
          <w:rFonts w:ascii="Times New Roman"/>
          <w:b w:val="false"/>
          <w:i w:val="false"/>
          <w:color w:val="000000"/>
          <w:sz w:val="28"/>
        </w:rPr>
        <w:t>
      бизнес-идентификационный номер;</w:t>
      </w:r>
    </w:p>
    <w:bookmarkEnd w:id="51"/>
    <w:bookmarkStart w:name="z69" w:id="52"/>
    <w:p>
      <w:pPr>
        <w:spacing w:after="0"/>
        <w:ind w:left="0"/>
        <w:jc w:val="both"/>
      </w:pPr>
      <w:r>
        <w:rPr>
          <w:rFonts w:ascii="Times New Roman"/>
          <w:b w:val="false"/>
          <w:i w:val="false"/>
          <w:color w:val="000000"/>
          <w:sz w:val="28"/>
        </w:rPr>
        <w:t>
      3) наименование эмитента, вид финансового инструмента, код финансового инструмента или международный идентификационный номер (код ISIN)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 присвоенный финансовым инструментам, с которыми сделка подлежит совершению в соответствии с данным клиентским заказом;</w:t>
      </w:r>
    </w:p>
    <w:bookmarkEnd w:id="52"/>
    <w:bookmarkStart w:name="z70" w:id="53"/>
    <w:p>
      <w:pPr>
        <w:spacing w:after="0"/>
        <w:ind w:left="0"/>
        <w:jc w:val="both"/>
      </w:pPr>
      <w:r>
        <w:rPr>
          <w:rFonts w:ascii="Times New Roman"/>
          <w:b w:val="false"/>
          <w:i w:val="false"/>
          <w:color w:val="000000"/>
          <w:sz w:val="28"/>
        </w:rPr>
        <w:t>
      4) количество финансовых инструментов, подлежащих покупке или продаже, цена покупки или продажи финансовых инструментов, а также сведения, необходимые для надлежащего совершения сделки;</w:t>
      </w:r>
    </w:p>
    <w:bookmarkEnd w:id="53"/>
    <w:bookmarkStart w:name="z71" w:id="54"/>
    <w:p>
      <w:pPr>
        <w:spacing w:after="0"/>
        <w:ind w:left="0"/>
        <w:jc w:val="both"/>
      </w:pPr>
      <w:r>
        <w:rPr>
          <w:rFonts w:ascii="Times New Roman"/>
          <w:b w:val="false"/>
          <w:i w:val="false"/>
          <w:color w:val="000000"/>
          <w:sz w:val="28"/>
        </w:rPr>
        <w:t>
      5) указание на тип клиентского заказа:</w:t>
      </w:r>
    </w:p>
    <w:bookmarkEnd w:id="54"/>
    <w:bookmarkStart w:name="z72" w:id="55"/>
    <w:p>
      <w:pPr>
        <w:spacing w:after="0"/>
        <w:ind w:left="0"/>
        <w:jc w:val="both"/>
      </w:pPr>
      <w:r>
        <w:rPr>
          <w:rFonts w:ascii="Times New Roman"/>
          <w:b w:val="false"/>
          <w:i w:val="false"/>
          <w:color w:val="000000"/>
          <w:sz w:val="28"/>
        </w:rPr>
        <w:t>
      лимитный заказ - на покупку (продажу) финансовых инструментов по оговоренной цене;</w:t>
      </w:r>
    </w:p>
    <w:bookmarkEnd w:id="55"/>
    <w:bookmarkStart w:name="z73" w:id="56"/>
    <w:p>
      <w:pPr>
        <w:spacing w:after="0"/>
        <w:ind w:left="0"/>
        <w:jc w:val="both"/>
      </w:pPr>
      <w:r>
        <w:rPr>
          <w:rFonts w:ascii="Times New Roman"/>
          <w:b w:val="false"/>
          <w:i w:val="false"/>
          <w:color w:val="000000"/>
          <w:sz w:val="28"/>
        </w:rPr>
        <w:t>
      рыночный заказ - на покупку (продажу) финансовых инструментов по рыночной цене;</w:t>
      </w:r>
    </w:p>
    <w:bookmarkEnd w:id="56"/>
    <w:bookmarkStart w:name="z74" w:id="57"/>
    <w:p>
      <w:pPr>
        <w:spacing w:after="0"/>
        <w:ind w:left="0"/>
        <w:jc w:val="both"/>
      </w:pPr>
      <w:r>
        <w:rPr>
          <w:rFonts w:ascii="Times New Roman"/>
          <w:b w:val="false"/>
          <w:i w:val="false"/>
          <w:color w:val="000000"/>
          <w:sz w:val="28"/>
        </w:rPr>
        <w:t>
      буферный заказ - на покупку (продажу) финансовых инструментов по цене, которая сложится в будущем;</w:t>
      </w:r>
    </w:p>
    <w:bookmarkEnd w:id="57"/>
    <w:bookmarkStart w:name="z75" w:id="58"/>
    <w:p>
      <w:pPr>
        <w:spacing w:after="0"/>
        <w:ind w:left="0"/>
        <w:jc w:val="both"/>
      </w:pPr>
      <w:r>
        <w:rPr>
          <w:rFonts w:ascii="Times New Roman"/>
          <w:b w:val="false"/>
          <w:i w:val="false"/>
          <w:color w:val="000000"/>
          <w:sz w:val="28"/>
        </w:rPr>
        <w:t>
      клиентские заказы, предусмотренные внутренними документами брокера и (или) дилера;</w:t>
      </w:r>
    </w:p>
    <w:bookmarkEnd w:id="58"/>
    <w:bookmarkStart w:name="z76" w:id="59"/>
    <w:p>
      <w:pPr>
        <w:spacing w:after="0"/>
        <w:ind w:left="0"/>
        <w:jc w:val="both"/>
      </w:pPr>
      <w:r>
        <w:rPr>
          <w:rFonts w:ascii="Times New Roman"/>
          <w:b w:val="false"/>
          <w:i w:val="false"/>
          <w:color w:val="000000"/>
          <w:sz w:val="28"/>
        </w:rPr>
        <w:t>
      6) срок действия клиентского заказа до конца текущей торговой сессии, если клиентом не будет указан иной срок;</w:t>
      </w:r>
    </w:p>
    <w:bookmarkEnd w:id="59"/>
    <w:bookmarkStart w:name="z77" w:id="60"/>
    <w:p>
      <w:pPr>
        <w:spacing w:after="0"/>
        <w:ind w:left="0"/>
        <w:jc w:val="both"/>
      </w:pPr>
      <w:r>
        <w:rPr>
          <w:rFonts w:ascii="Times New Roman"/>
          <w:b w:val="false"/>
          <w:i w:val="false"/>
          <w:color w:val="000000"/>
          <w:sz w:val="28"/>
        </w:rPr>
        <w:t>
      7) дату и время (в формате часы и минуты) приема клиентского заказа;</w:t>
      </w:r>
    </w:p>
    <w:bookmarkEnd w:id="60"/>
    <w:bookmarkStart w:name="z78" w:id="61"/>
    <w:p>
      <w:pPr>
        <w:spacing w:after="0"/>
        <w:ind w:left="0"/>
        <w:jc w:val="both"/>
      </w:pPr>
      <w:r>
        <w:rPr>
          <w:rFonts w:ascii="Times New Roman"/>
          <w:b w:val="false"/>
          <w:i w:val="false"/>
          <w:color w:val="000000"/>
          <w:sz w:val="28"/>
        </w:rPr>
        <w:t>
      8) фамилия, имя, отчество (при его наличии) работника брокера и (или) дилера, принявшего данный клиентский заказ;</w:t>
      </w:r>
    </w:p>
    <w:bookmarkEnd w:id="61"/>
    <w:bookmarkStart w:name="z79" w:id="62"/>
    <w:p>
      <w:pPr>
        <w:spacing w:after="0"/>
        <w:ind w:left="0"/>
        <w:jc w:val="both"/>
      </w:pPr>
      <w:r>
        <w:rPr>
          <w:rFonts w:ascii="Times New Roman"/>
          <w:b w:val="false"/>
          <w:i w:val="false"/>
          <w:color w:val="000000"/>
          <w:sz w:val="28"/>
        </w:rPr>
        <w:t>
      9) сведения о наличии рекомендации брокера и (или) дилера о совершении сделки с финансовыми инструментами, подлежащей совершению в соответствии с данным клиентским заказом;</w:t>
      </w:r>
    </w:p>
    <w:bookmarkEnd w:id="62"/>
    <w:bookmarkStart w:name="z80" w:id="63"/>
    <w:p>
      <w:pPr>
        <w:spacing w:after="0"/>
        <w:ind w:left="0"/>
        <w:jc w:val="both"/>
      </w:pPr>
      <w:r>
        <w:rPr>
          <w:rFonts w:ascii="Times New Roman"/>
          <w:b w:val="false"/>
          <w:i w:val="false"/>
          <w:color w:val="000000"/>
          <w:sz w:val="28"/>
        </w:rPr>
        <w:t>
      10) подпись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коды, шифрование, биометрические данные или иные способы защиты, не противоречащие законодательству Республики Казахстан;</w:t>
      </w:r>
    </w:p>
    <w:bookmarkEnd w:id="63"/>
    <w:bookmarkStart w:name="z81" w:id="64"/>
    <w:p>
      <w:pPr>
        <w:spacing w:after="0"/>
        <w:ind w:left="0"/>
        <w:jc w:val="both"/>
      </w:pPr>
      <w:r>
        <w:rPr>
          <w:rFonts w:ascii="Times New Roman"/>
          <w:b w:val="false"/>
          <w:i w:val="false"/>
          <w:color w:val="000000"/>
          <w:sz w:val="28"/>
        </w:rPr>
        <w:t>
      11) реквизиты, установленные внутренними документами брокера и (или) дилера.</w:t>
      </w:r>
    </w:p>
    <w:bookmarkEnd w:id="64"/>
    <w:bookmarkStart w:name="z82" w:id="65"/>
    <w:p>
      <w:pPr>
        <w:spacing w:after="0"/>
        <w:ind w:left="0"/>
        <w:jc w:val="both"/>
      </w:pPr>
      <w:r>
        <w:rPr>
          <w:rFonts w:ascii="Times New Roman"/>
          <w:b w:val="false"/>
          <w:i w:val="false"/>
          <w:color w:val="000000"/>
          <w:sz w:val="28"/>
        </w:rPr>
        <w:t>
      Реквизиты, перечисленные в подпунктах 8) и 9) настоящего пункта, не указываются в случае, если клиент представляет клиентский заказ брокеру и (или) дилеру в рамках оказания брокером и (или) дилером электронных услуг.";</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4" w:id="66"/>
    <w:p>
      <w:pPr>
        <w:spacing w:after="0"/>
        <w:ind w:left="0"/>
        <w:jc w:val="both"/>
      </w:pPr>
      <w:r>
        <w:rPr>
          <w:rFonts w:ascii="Times New Roman"/>
          <w:b w:val="false"/>
          <w:i w:val="false"/>
          <w:color w:val="000000"/>
          <w:sz w:val="28"/>
        </w:rPr>
        <w:t>
      "49. Брокеру и (или) дилеру разрешается заключение сделок с расчетным периодом до 5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(четырех) рабочих дней с даты заключения сделки. Брокеру и (или) дилеру разрешается заключение сделок с расчетным периодом, не превышающим 14 (четырнадцать) рабочих дней, по сделкам, осуществляемым через иностранные расчетные организации. Расчеты по указанным сделкам осуществляются через центральный депозитарий или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6" w:id="67"/>
    <w:p>
      <w:pPr>
        <w:spacing w:after="0"/>
        <w:ind w:left="0"/>
        <w:jc w:val="both"/>
      </w:pPr>
      <w:r>
        <w:rPr>
          <w:rFonts w:ascii="Times New Roman"/>
          <w:b w:val="false"/>
          <w:i w:val="false"/>
          <w:color w:val="000000"/>
          <w:sz w:val="28"/>
        </w:rPr>
        <w:t>
      "52. Брокер и (или) дилер не заключает сделки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 за исключением сделок на срок не более 90 (девяноста) календарных дней (с учетом продления первоначального срока указанных операций), контрагентом в которых выступают юридические лица, имеющие долгосрочную кредитную рейтинговую оценку не ниже "ВВ-"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Fitch (Фич), и (или) следующие международные финансовые организации:</w:t>
      </w:r>
    </w:p>
    <w:bookmarkEnd w:id="67"/>
    <w:bookmarkStart w:name="z87" w:id="68"/>
    <w:p>
      <w:pPr>
        <w:spacing w:after="0"/>
        <w:ind w:left="0"/>
        <w:jc w:val="both"/>
      </w:pPr>
      <w:r>
        <w:rPr>
          <w:rFonts w:ascii="Times New Roman"/>
          <w:b w:val="false"/>
          <w:i w:val="false"/>
          <w:color w:val="000000"/>
          <w:sz w:val="28"/>
        </w:rPr>
        <w:t>
      Азиатский банк развития (the Asian Development Bank);</w:t>
      </w:r>
    </w:p>
    <w:bookmarkEnd w:id="68"/>
    <w:bookmarkStart w:name="z88" w:id="69"/>
    <w:p>
      <w:pPr>
        <w:spacing w:after="0"/>
        <w:ind w:left="0"/>
        <w:jc w:val="both"/>
      </w:pPr>
      <w:r>
        <w:rPr>
          <w:rFonts w:ascii="Times New Roman"/>
          <w:b w:val="false"/>
          <w:i w:val="false"/>
          <w:color w:val="000000"/>
          <w:sz w:val="28"/>
        </w:rPr>
        <w:t>
      Межамериканский банк развития (the Inter-American Development Bank);</w:t>
      </w:r>
    </w:p>
    <w:bookmarkEnd w:id="69"/>
    <w:bookmarkStart w:name="z89" w:id="70"/>
    <w:p>
      <w:pPr>
        <w:spacing w:after="0"/>
        <w:ind w:left="0"/>
        <w:jc w:val="both"/>
      </w:pPr>
      <w:r>
        <w:rPr>
          <w:rFonts w:ascii="Times New Roman"/>
          <w:b w:val="false"/>
          <w:i w:val="false"/>
          <w:color w:val="000000"/>
          <w:sz w:val="28"/>
        </w:rPr>
        <w:t>
      Африканский банк развития (the African Development Bank);</w:t>
      </w:r>
    </w:p>
    <w:bookmarkEnd w:id="70"/>
    <w:bookmarkStart w:name="z90" w:id="71"/>
    <w:p>
      <w:pPr>
        <w:spacing w:after="0"/>
        <w:ind w:left="0"/>
        <w:jc w:val="both"/>
      </w:pPr>
      <w:r>
        <w:rPr>
          <w:rFonts w:ascii="Times New Roman"/>
          <w:b w:val="false"/>
          <w:i w:val="false"/>
          <w:color w:val="000000"/>
          <w:sz w:val="28"/>
        </w:rPr>
        <w:t>
      Евразийский банк развития (Eurasian Development Bank);</w:t>
      </w:r>
    </w:p>
    <w:bookmarkEnd w:id="71"/>
    <w:bookmarkStart w:name="z91" w:id="72"/>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72"/>
    <w:bookmarkStart w:name="z92" w:id="73"/>
    <w:p>
      <w:pPr>
        <w:spacing w:after="0"/>
        <w:ind w:left="0"/>
        <w:jc w:val="both"/>
      </w:pPr>
      <w:r>
        <w:rPr>
          <w:rFonts w:ascii="Times New Roman"/>
          <w:b w:val="false"/>
          <w:i w:val="false"/>
          <w:color w:val="000000"/>
          <w:sz w:val="28"/>
        </w:rPr>
        <w:t>
      Европейский инвестиционный банк (the European Investment Bank);</w:t>
      </w:r>
    </w:p>
    <w:bookmarkEnd w:id="73"/>
    <w:bookmarkStart w:name="z93" w:id="74"/>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74"/>
    <w:bookmarkStart w:name="z94" w:id="75"/>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75"/>
    <w:bookmarkStart w:name="z95" w:id="76"/>
    <w:p>
      <w:pPr>
        <w:spacing w:after="0"/>
        <w:ind w:left="0"/>
        <w:jc w:val="both"/>
      </w:pPr>
      <w:r>
        <w:rPr>
          <w:rFonts w:ascii="Times New Roman"/>
          <w:b w:val="false"/>
          <w:i w:val="false"/>
          <w:color w:val="000000"/>
          <w:sz w:val="28"/>
        </w:rPr>
        <w:t>
      Исламский банк развития (the Islamic Development Bank);</w:t>
      </w:r>
    </w:p>
    <w:bookmarkEnd w:id="76"/>
    <w:bookmarkStart w:name="z96" w:id="77"/>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77"/>
    <w:bookmarkStart w:name="z97" w:id="78"/>
    <w:p>
      <w:pPr>
        <w:spacing w:after="0"/>
        <w:ind w:left="0"/>
        <w:jc w:val="both"/>
      </w:pPr>
      <w:r>
        <w:rPr>
          <w:rFonts w:ascii="Times New Roman"/>
          <w:b w:val="false"/>
          <w:i w:val="false"/>
          <w:color w:val="000000"/>
          <w:sz w:val="28"/>
        </w:rPr>
        <w:t>
      Скандинавский инвестиционный банк (the Nordic Investment Bank);</w:t>
      </w:r>
    </w:p>
    <w:bookmarkEnd w:id="78"/>
    <w:bookmarkStart w:name="z98" w:id="79"/>
    <w:p>
      <w:pPr>
        <w:spacing w:after="0"/>
        <w:ind w:left="0"/>
        <w:jc w:val="both"/>
      </w:pPr>
      <w:r>
        <w:rPr>
          <w:rFonts w:ascii="Times New Roman"/>
          <w:b w:val="false"/>
          <w:i w:val="false"/>
          <w:color w:val="000000"/>
          <w:sz w:val="28"/>
        </w:rPr>
        <w:t>
      Международный валютный фонд (the International Monetary Fund);</w:t>
      </w:r>
    </w:p>
    <w:bookmarkEnd w:id="79"/>
    <w:bookmarkStart w:name="z99" w:id="80"/>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80"/>
    <w:bookmarkStart w:name="z100" w:id="81"/>
    <w:p>
      <w:pPr>
        <w:spacing w:after="0"/>
        <w:ind w:left="0"/>
        <w:jc w:val="both"/>
      </w:pPr>
      <w:r>
        <w:rPr>
          <w:rFonts w:ascii="Times New Roman"/>
          <w:b w:val="false"/>
          <w:i w:val="false"/>
          <w:color w:val="000000"/>
          <w:sz w:val="28"/>
        </w:rPr>
        <w:t>
      Банк международных расчетов (the Bank for International Settlements);</w:t>
      </w:r>
    </w:p>
    <w:bookmarkEnd w:id="81"/>
    <w:bookmarkStart w:name="z101" w:id="82"/>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82"/>
    <w:bookmarkStart w:name="z102" w:id="83"/>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83"/>
    <w:bookmarkStart w:name="z103" w:id="84"/>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84"/>
    <w:bookmarkStart w:name="z104" w:id="85"/>
    <w:p>
      <w:pPr>
        <w:spacing w:after="0"/>
        <w:ind w:left="0"/>
        <w:jc w:val="both"/>
      </w:pPr>
      <w:r>
        <w:rPr>
          <w:rFonts w:ascii="Times New Roman"/>
          <w:b w:val="false"/>
          <w:i w:val="false"/>
          <w:color w:val="000000"/>
          <w:sz w:val="28"/>
        </w:rPr>
        <w:t>
      Черноморский банк торговли и развития (the Black Sea Trade and Development Bank).";</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"64.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банках, филиалах банков-нерезидентов Республики Казахстан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w:t>
      </w:r>
    </w:p>
    <w:bookmarkEnd w:id="86"/>
    <w:bookmarkStart w:name="z107" w:id="87"/>
    <w:p>
      <w:pPr>
        <w:spacing w:after="0"/>
        <w:ind w:left="0"/>
        <w:jc w:val="both"/>
      </w:pPr>
      <w:r>
        <w:rPr>
          <w:rFonts w:ascii="Times New Roman"/>
          <w:b w:val="false"/>
          <w:i w:val="false"/>
          <w:color w:val="000000"/>
          <w:sz w:val="28"/>
        </w:rPr>
        <w:t>
      Хранение финансовых инструментов и денег клиента брокера и (или) дилера первой категории осуществляется в иностранных расчетных организациях только при наличии предварительного согласия данного клиента в письменной (бумажной и (или) электронной) форме и (или) уведомления о хранении финансовых инструментов и денег в иностранных расчетных организациях, размещенного на интернет-ресурсе и (или) в торговой платформе (программном обеспечении) брокера и (или) дилера первой категории, и (или) направленного данному клиенту электронной почтой или иными возможными видами связи.</w:t>
      </w:r>
    </w:p>
    <w:bookmarkEnd w:id="87"/>
    <w:bookmarkStart w:name="z108" w:id="88"/>
    <w:p>
      <w:pPr>
        <w:spacing w:after="0"/>
        <w:ind w:left="0"/>
        <w:jc w:val="both"/>
      </w:pPr>
      <w:r>
        <w:rPr>
          <w:rFonts w:ascii="Times New Roman"/>
          <w:b w:val="false"/>
          <w:i w:val="false"/>
          <w:color w:val="000000"/>
          <w:sz w:val="28"/>
        </w:rPr>
        <w:t>
      Обязательным условием является фиксация брокером и (или) дилером первой категории факта получения и ознакомления клиентом с уведомлением.</w:t>
      </w:r>
    </w:p>
    <w:bookmarkEnd w:id="88"/>
    <w:bookmarkStart w:name="z109" w:id="89"/>
    <w:p>
      <w:pPr>
        <w:spacing w:after="0"/>
        <w:ind w:left="0"/>
        <w:jc w:val="both"/>
      </w:pPr>
      <w:r>
        <w:rPr>
          <w:rFonts w:ascii="Times New Roman"/>
          <w:b w:val="false"/>
          <w:i w:val="false"/>
          <w:color w:val="000000"/>
          <w:sz w:val="28"/>
        </w:rPr>
        <w:t xml:space="preserve">
      Брокер и (или) дилер первой категории, обладающий лицензией на осуществление деятельности, предусмотренной подпунктами 1), 2) и 3) части четвертой пункта 1 </w:t>
      </w:r>
      <w:r>
        <w:rPr>
          <w:rFonts w:ascii="Times New Roman"/>
          <w:b w:val="false"/>
          <w:i w:val="false"/>
          <w:color w:val="000000"/>
          <w:sz w:val="28"/>
        </w:rPr>
        <w:t>статьи 63</w:t>
      </w:r>
      <w:r>
        <w:rPr>
          <w:rFonts w:ascii="Times New Roman"/>
          <w:b w:val="false"/>
          <w:i w:val="false"/>
          <w:color w:val="000000"/>
          <w:sz w:val="28"/>
        </w:rPr>
        <w:t xml:space="preserve"> Закона о рынке ценных бумаг, самостоятельно открывает банковские счета, предназначенные для раздельного учета и хранения денег, принадлежащих его клиентам.".</w:t>
      </w:r>
    </w:p>
    <w:bookmarkEnd w:id="89"/>
    <w:bookmarkStart w:name="z110" w:id="9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следующее изменение:</w:t>
      </w:r>
    </w:p>
    <w:bookmarkEnd w:id="90"/>
    <w:bookmarkStart w:name="z111"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13" w:id="92"/>
    <w:p>
      <w:pPr>
        <w:spacing w:after="0"/>
        <w:ind w:left="0"/>
        <w:jc w:val="both"/>
      </w:pPr>
      <w:r>
        <w:rPr>
          <w:rFonts w:ascii="Times New Roman"/>
          <w:b w:val="false"/>
          <w:i w:val="false"/>
          <w:color w:val="000000"/>
          <w:sz w:val="28"/>
        </w:rPr>
        <w:t>
      "1) копия документа, удостоверяющего личность, либо данные удостоверения личности из сервиса цифровых документов (для идентификации);".</w:t>
      </w:r>
    </w:p>
    <w:bookmarkEnd w:id="92"/>
    <w:bookmarkStart w:name="z114" w:id="9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следующие изменения: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6" w:id="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Закона Республики Казахстан "О рынке ценных бумаг" и </w:t>
      </w:r>
      <w:r>
        <w:rPr>
          <w:rFonts w:ascii="Times New Roman"/>
          <w:b w:val="false"/>
          <w:i w:val="false"/>
          <w:color w:val="000000"/>
          <w:sz w:val="28"/>
        </w:rPr>
        <w:t>подпунктом 9-3)</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94"/>
    <w:bookmarkStart w:name="z117"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9" w:id="96"/>
    <w:p>
      <w:pPr>
        <w:spacing w:after="0"/>
        <w:ind w:left="0"/>
        <w:jc w:val="both"/>
      </w:pPr>
      <w:r>
        <w:rPr>
          <w:rFonts w:ascii="Times New Roman"/>
          <w:b w:val="false"/>
          <w:i w:val="false"/>
          <w:color w:val="000000"/>
          <w:sz w:val="28"/>
        </w:rPr>
        <w:t>
      "3. Для целей Правил под международными финансовыми организациями понимаются следующие организации:</w:t>
      </w:r>
    </w:p>
    <w:bookmarkEnd w:id="96"/>
    <w:bookmarkStart w:name="z120" w:id="97"/>
    <w:p>
      <w:pPr>
        <w:spacing w:after="0"/>
        <w:ind w:left="0"/>
        <w:jc w:val="both"/>
      </w:pPr>
      <w:r>
        <w:rPr>
          <w:rFonts w:ascii="Times New Roman"/>
          <w:b w:val="false"/>
          <w:i w:val="false"/>
          <w:color w:val="000000"/>
          <w:sz w:val="28"/>
        </w:rPr>
        <w:t>
      Азиатский банк развития (the Asian Development Bank);</w:t>
      </w:r>
    </w:p>
    <w:bookmarkEnd w:id="97"/>
    <w:bookmarkStart w:name="z121" w:id="98"/>
    <w:p>
      <w:pPr>
        <w:spacing w:after="0"/>
        <w:ind w:left="0"/>
        <w:jc w:val="both"/>
      </w:pPr>
      <w:r>
        <w:rPr>
          <w:rFonts w:ascii="Times New Roman"/>
          <w:b w:val="false"/>
          <w:i w:val="false"/>
          <w:color w:val="000000"/>
          <w:sz w:val="28"/>
        </w:rPr>
        <w:t>
      Межамериканский банк развития (the Inter-American Development Bank);</w:t>
      </w:r>
    </w:p>
    <w:bookmarkEnd w:id="98"/>
    <w:bookmarkStart w:name="z122" w:id="99"/>
    <w:p>
      <w:pPr>
        <w:spacing w:after="0"/>
        <w:ind w:left="0"/>
        <w:jc w:val="both"/>
      </w:pPr>
      <w:r>
        <w:rPr>
          <w:rFonts w:ascii="Times New Roman"/>
          <w:b w:val="false"/>
          <w:i w:val="false"/>
          <w:color w:val="000000"/>
          <w:sz w:val="28"/>
        </w:rPr>
        <w:t>
      Африканский банк развития (the African Development Bank);</w:t>
      </w:r>
    </w:p>
    <w:bookmarkEnd w:id="99"/>
    <w:bookmarkStart w:name="z123" w:id="100"/>
    <w:p>
      <w:pPr>
        <w:spacing w:after="0"/>
        <w:ind w:left="0"/>
        <w:jc w:val="both"/>
      </w:pPr>
      <w:r>
        <w:rPr>
          <w:rFonts w:ascii="Times New Roman"/>
          <w:b w:val="false"/>
          <w:i w:val="false"/>
          <w:color w:val="000000"/>
          <w:sz w:val="28"/>
        </w:rPr>
        <w:t>
      Евразийский банк развития (Eurasian Development Bank);</w:t>
      </w:r>
    </w:p>
    <w:bookmarkEnd w:id="100"/>
    <w:bookmarkStart w:name="z124" w:id="101"/>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01"/>
    <w:bookmarkStart w:name="z125" w:id="102"/>
    <w:p>
      <w:pPr>
        <w:spacing w:after="0"/>
        <w:ind w:left="0"/>
        <w:jc w:val="both"/>
      </w:pPr>
      <w:r>
        <w:rPr>
          <w:rFonts w:ascii="Times New Roman"/>
          <w:b w:val="false"/>
          <w:i w:val="false"/>
          <w:color w:val="000000"/>
          <w:sz w:val="28"/>
        </w:rPr>
        <w:t>
      Европейский инвестиционный банк (the European Investment Bank);</w:t>
      </w:r>
    </w:p>
    <w:bookmarkEnd w:id="102"/>
    <w:bookmarkStart w:name="z126" w:id="103"/>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03"/>
    <w:bookmarkStart w:name="z127" w:id="104"/>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04"/>
    <w:bookmarkStart w:name="z128" w:id="105"/>
    <w:p>
      <w:pPr>
        <w:spacing w:after="0"/>
        <w:ind w:left="0"/>
        <w:jc w:val="both"/>
      </w:pPr>
      <w:r>
        <w:rPr>
          <w:rFonts w:ascii="Times New Roman"/>
          <w:b w:val="false"/>
          <w:i w:val="false"/>
          <w:color w:val="000000"/>
          <w:sz w:val="28"/>
        </w:rPr>
        <w:t>
      Исламский банк развития (the Islamic Development Bank);</w:t>
      </w:r>
    </w:p>
    <w:bookmarkEnd w:id="105"/>
    <w:bookmarkStart w:name="z129" w:id="106"/>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06"/>
    <w:bookmarkStart w:name="z130" w:id="107"/>
    <w:p>
      <w:pPr>
        <w:spacing w:after="0"/>
        <w:ind w:left="0"/>
        <w:jc w:val="both"/>
      </w:pPr>
      <w:r>
        <w:rPr>
          <w:rFonts w:ascii="Times New Roman"/>
          <w:b w:val="false"/>
          <w:i w:val="false"/>
          <w:color w:val="000000"/>
          <w:sz w:val="28"/>
        </w:rPr>
        <w:t>
      Скандинавский инвестиционный банк (the Nordic Investment Bank);</w:t>
      </w:r>
    </w:p>
    <w:bookmarkEnd w:id="107"/>
    <w:bookmarkStart w:name="z131" w:id="108"/>
    <w:p>
      <w:pPr>
        <w:spacing w:after="0"/>
        <w:ind w:left="0"/>
        <w:jc w:val="both"/>
      </w:pPr>
      <w:r>
        <w:rPr>
          <w:rFonts w:ascii="Times New Roman"/>
          <w:b w:val="false"/>
          <w:i w:val="false"/>
          <w:color w:val="000000"/>
          <w:sz w:val="28"/>
        </w:rPr>
        <w:t>
      Международный валютный фонд (the International Monetary Fund);</w:t>
      </w:r>
    </w:p>
    <w:bookmarkEnd w:id="108"/>
    <w:bookmarkStart w:name="z132" w:id="109"/>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09"/>
    <w:bookmarkStart w:name="z133" w:id="110"/>
    <w:p>
      <w:pPr>
        <w:spacing w:after="0"/>
        <w:ind w:left="0"/>
        <w:jc w:val="both"/>
      </w:pPr>
      <w:r>
        <w:rPr>
          <w:rFonts w:ascii="Times New Roman"/>
          <w:b w:val="false"/>
          <w:i w:val="false"/>
          <w:color w:val="000000"/>
          <w:sz w:val="28"/>
        </w:rPr>
        <w:t>
      Банк международных расчетов (the Bank for International Settlements);</w:t>
      </w:r>
    </w:p>
    <w:bookmarkEnd w:id="110"/>
    <w:bookmarkStart w:name="z134" w:id="111"/>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11"/>
    <w:bookmarkStart w:name="z135" w:id="112"/>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12"/>
    <w:bookmarkStart w:name="z136" w:id="113"/>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13"/>
    <w:bookmarkStart w:name="z137" w:id="114"/>
    <w:p>
      <w:pPr>
        <w:spacing w:after="0"/>
        <w:ind w:left="0"/>
        <w:jc w:val="both"/>
      </w:pPr>
      <w:r>
        <w:rPr>
          <w:rFonts w:ascii="Times New Roman"/>
          <w:b w:val="false"/>
          <w:i w:val="false"/>
          <w:color w:val="000000"/>
          <w:sz w:val="28"/>
        </w:rPr>
        <w:t>
      Черноморский банк торговли и развития (the Black Sea Trade and Development Bank).";</w:t>
      </w:r>
    </w:p>
    <w:bookmarkEnd w:id="114"/>
    <w:bookmarkStart w:name="z138"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утвержденной указанным постановлением: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0" w:id="116"/>
    <w:p>
      <w:pPr>
        <w:spacing w:after="0"/>
        <w:ind w:left="0"/>
        <w:jc w:val="both"/>
      </w:pPr>
      <w:r>
        <w:rPr>
          <w:rFonts w:ascii="Times New Roman"/>
          <w:b w:val="false"/>
          <w:i w:val="false"/>
          <w:color w:val="000000"/>
          <w:sz w:val="28"/>
        </w:rPr>
        <w:t>
      "6. В расчет высоколиквидных активов управляющего инвестиционным портфелем включаются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116"/>
    <w:bookmarkStart w:name="z141" w:id="117"/>
    <w:p>
      <w:pPr>
        <w:spacing w:after="0"/>
        <w:ind w:left="0"/>
        <w:jc w:val="both"/>
      </w:pPr>
      <w:r>
        <w:rPr>
          <w:rFonts w:ascii="Times New Roman"/>
          <w:b w:val="false"/>
          <w:i w:val="false"/>
          <w:color w:val="000000"/>
          <w:sz w:val="28"/>
        </w:rPr>
        <w:t>
      В качестве ликвидных активов управляющего инвестиционным портфелем признаются активы, указанные в следующих строках Таблицы расчета значений пруденциальных нормативов управляющего инвестиционным портфелем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bookmarkEnd w:id="117"/>
    <w:bookmarkStart w:name="z142" w:id="118"/>
    <w:p>
      <w:pPr>
        <w:spacing w:after="0"/>
        <w:ind w:left="0"/>
        <w:jc w:val="both"/>
      </w:pPr>
      <w:r>
        <w:rPr>
          <w:rFonts w:ascii="Times New Roman"/>
          <w:b w:val="false"/>
          <w:i w:val="false"/>
          <w:color w:val="000000"/>
          <w:sz w:val="28"/>
        </w:rPr>
        <w:t>
      Управляющий инвестиционным портфелем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управляющего инвестиционным портфелем.</w:t>
      </w:r>
    </w:p>
    <w:bookmarkEnd w:id="118"/>
    <w:bookmarkStart w:name="z143" w:id="119"/>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в отношении государственных ценных бумаг Республики Казахстан и финансовых инструментов, выпущенных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bookmarkEnd w:id="119"/>
    <w:bookmarkStart w:name="z144" w:id="12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следующие изменения: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6" w:id="1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Закона Республики Казахстан "О рынке ценных бумаг" (далее – Закон о рынке ценных бумаг) и </w:t>
      </w:r>
      <w:r>
        <w:rPr>
          <w:rFonts w:ascii="Times New Roman"/>
          <w:b w:val="false"/>
          <w:i w:val="false"/>
          <w:color w:val="000000"/>
          <w:sz w:val="28"/>
        </w:rPr>
        <w:t>подпунктом 9-3)</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1"/>
    <w:bookmarkStart w:name="z147"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9" w:id="123"/>
    <w:p>
      <w:pPr>
        <w:spacing w:after="0"/>
        <w:ind w:left="0"/>
        <w:jc w:val="both"/>
      </w:pPr>
      <w:r>
        <w:rPr>
          <w:rFonts w:ascii="Times New Roman"/>
          <w:b w:val="false"/>
          <w:i w:val="false"/>
          <w:color w:val="000000"/>
          <w:sz w:val="28"/>
        </w:rPr>
        <w:t>
      "7. Для целей Правил под международными финансовыми организациями понимаются следующие организации:</w:t>
      </w:r>
    </w:p>
    <w:bookmarkEnd w:id="123"/>
    <w:bookmarkStart w:name="z150" w:id="124"/>
    <w:p>
      <w:pPr>
        <w:spacing w:after="0"/>
        <w:ind w:left="0"/>
        <w:jc w:val="both"/>
      </w:pPr>
      <w:r>
        <w:rPr>
          <w:rFonts w:ascii="Times New Roman"/>
          <w:b w:val="false"/>
          <w:i w:val="false"/>
          <w:color w:val="000000"/>
          <w:sz w:val="28"/>
        </w:rPr>
        <w:t>
      Азиатский банк развития (the Asian Development Bank);</w:t>
      </w:r>
    </w:p>
    <w:bookmarkEnd w:id="124"/>
    <w:bookmarkStart w:name="z151" w:id="125"/>
    <w:p>
      <w:pPr>
        <w:spacing w:after="0"/>
        <w:ind w:left="0"/>
        <w:jc w:val="both"/>
      </w:pPr>
      <w:r>
        <w:rPr>
          <w:rFonts w:ascii="Times New Roman"/>
          <w:b w:val="false"/>
          <w:i w:val="false"/>
          <w:color w:val="000000"/>
          <w:sz w:val="28"/>
        </w:rPr>
        <w:t>
      Межамериканский банк развития (the Inter-American Development Bank);</w:t>
      </w:r>
    </w:p>
    <w:bookmarkEnd w:id="125"/>
    <w:bookmarkStart w:name="z152" w:id="126"/>
    <w:p>
      <w:pPr>
        <w:spacing w:after="0"/>
        <w:ind w:left="0"/>
        <w:jc w:val="both"/>
      </w:pPr>
      <w:r>
        <w:rPr>
          <w:rFonts w:ascii="Times New Roman"/>
          <w:b w:val="false"/>
          <w:i w:val="false"/>
          <w:color w:val="000000"/>
          <w:sz w:val="28"/>
        </w:rPr>
        <w:t>
      Африканский банк развития (the African Development Bank);</w:t>
      </w:r>
    </w:p>
    <w:bookmarkEnd w:id="126"/>
    <w:bookmarkStart w:name="z153" w:id="127"/>
    <w:p>
      <w:pPr>
        <w:spacing w:after="0"/>
        <w:ind w:left="0"/>
        <w:jc w:val="both"/>
      </w:pPr>
      <w:r>
        <w:rPr>
          <w:rFonts w:ascii="Times New Roman"/>
          <w:b w:val="false"/>
          <w:i w:val="false"/>
          <w:color w:val="000000"/>
          <w:sz w:val="28"/>
        </w:rPr>
        <w:t>
      Евразийский банк развития (Eurasian Development Bank);</w:t>
      </w:r>
    </w:p>
    <w:bookmarkEnd w:id="127"/>
    <w:bookmarkStart w:name="z154" w:id="128"/>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28"/>
    <w:bookmarkStart w:name="z155" w:id="129"/>
    <w:p>
      <w:pPr>
        <w:spacing w:after="0"/>
        <w:ind w:left="0"/>
        <w:jc w:val="both"/>
      </w:pPr>
      <w:r>
        <w:rPr>
          <w:rFonts w:ascii="Times New Roman"/>
          <w:b w:val="false"/>
          <w:i w:val="false"/>
          <w:color w:val="000000"/>
          <w:sz w:val="28"/>
        </w:rPr>
        <w:t>
      Европейский инвестиционный банк (the European Investment Bank);</w:t>
      </w:r>
    </w:p>
    <w:bookmarkEnd w:id="129"/>
    <w:bookmarkStart w:name="z156" w:id="130"/>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30"/>
    <w:bookmarkStart w:name="z157" w:id="131"/>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131"/>
    <w:bookmarkStart w:name="z158" w:id="132"/>
    <w:p>
      <w:pPr>
        <w:spacing w:after="0"/>
        <w:ind w:left="0"/>
        <w:jc w:val="both"/>
      </w:pPr>
      <w:r>
        <w:rPr>
          <w:rFonts w:ascii="Times New Roman"/>
          <w:b w:val="false"/>
          <w:i w:val="false"/>
          <w:color w:val="000000"/>
          <w:sz w:val="28"/>
        </w:rPr>
        <w:t>
      Исламский банк развития (the Islamic Development Bank);</w:t>
      </w:r>
    </w:p>
    <w:bookmarkEnd w:id="132"/>
    <w:bookmarkStart w:name="z159" w:id="133"/>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33"/>
    <w:bookmarkStart w:name="z160" w:id="134"/>
    <w:p>
      <w:pPr>
        <w:spacing w:after="0"/>
        <w:ind w:left="0"/>
        <w:jc w:val="both"/>
      </w:pPr>
      <w:r>
        <w:rPr>
          <w:rFonts w:ascii="Times New Roman"/>
          <w:b w:val="false"/>
          <w:i w:val="false"/>
          <w:color w:val="000000"/>
          <w:sz w:val="28"/>
        </w:rPr>
        <w:t>
      Скандинавский инвестиционный банк (the Nordic Investment Bank);</w:t>
      </w:r>
    </w:p>
    <w:bookmarkEnd w:id="134"/>
    <w:bookmarkStart w:name="z161" w:id="135"/>
    <w:p>
      <w:pPr>
        <w:spacing w:after="0"/>
        <w:ind w:left="0"/>
        <w:jc w:val="both"/>
      </w:pPr>
      <w:r>
        <w:rPr>
          <w:rFonts w:ascii="Times New Roman"/>
          <w:b w:val="false"/>
          <w:i w:val="false"/>
          <w:color w:val="000000"/>
          <w:sz w:val="28"/>
        </w:rPr>
        <w:t>
      Международный валютный фонд (the International Monetary Fund);</w:t>
      </w:r>
    </w:p>
    <w:bookmarkEnd w:id="135"/>
    <w:bookmarkStart w:name="z162" w:id="136"/>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36"/>
    <w:bookmarkStart w:name="z163" w:id="137"/>
    <w:p>
      <w:pPr>
        <w:spacing w:after="0"/>
        <w:ind w:left="0"/>
        <w:jc w:val="both"/>
      </w:pPr>
      <w:r>
        <w:rPr>
          <w:rFonts w:ascii="Times New Roman"/>
          <w:b w:val="false"/>
          <w:i w:val="false"/>
          <w:color w:val="000000"/>
          <w:sz w:val="28"/>
        </w:rPr>
        <w:t>
      Банк международных расчетов (the Bank for International Settlements);</w:t>
      </w:r>
    </w:p>
    <w:bookmarkEnd w:id="137"/>
    <w:bookmarkStart w:name="z164" w:id="138"/>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38"/>
    <w:bookmarkStart w:name="z165" w:id="139"/>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39"/>
    <w:bookmarkStart w:name="z166" w:id="140"/>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40"/>
    <w:bookmarkStart w:name="z167" w:id="141"/>
    <w:p>
      <w:pPr>
        <w:spacing w:after="0"/>
        <w:ind w:left="0"/>
        <w:jc w:val="both"/>
      </w:pPr>
      <w:r>
        <w:rPr>
          <w:rFonts w:ascii="Times New Roman"/>
          <w:b w:val="false"/>
          <w:i w:val="false"/>
          <w:color w:val="000000"/>
          <w:sz w:val="28"/>
        </w:rPr>
        <w:t>
      Черноморский банк торговли и развития (the Black Sea Trade and Development Bank).";</w:t>
      </w:r>
    </w:p>
    <w:bookmarkEnd w:id="141"/>
    <w:bookmarkStart w:name="z16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утвержденной указанным постановлением: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0" w:id="143"/>
    <w:p>
      <w:pPr>
        <w:spacing w:after="0"/>
        <w:ind w:left="0"/>
        <w:jc w:val="both"/>
      </w:pPr>
      <w:r>
        <w:rPr>
          <w:rFonts w:ascii="Times New Roman"/>
          <w:b w:val="false"/>
          <w:i w:val="false"/>
          <w:color w:val="000000"/>
          <w:sz w:val="28"/>
        </w:rPr>
        <w:t>
      "6. В расчет высоколиквидных активов брокера и (или) дилера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утвержденным настоящим постановлением (далее - Правила), в соответствующих объемах: 1.1, 1.2, 1.4, 1.5, 1.6, 1.7, 1.8, 1.9, 1.10, 1.12, 1.13, 2.1, 2.2, 2.3, 2.4, 2.8, 2.10, 2.11, 2.14, 3.1, 3.2, 3.5, 4.4, 5.1, 5.2, 5.3, 5.4. (за исключением ценных бумаг, являющимися предметом операций репо).</w:t>
      </w:r>
    </w:p>
    <w:bookmarkEnd w:id="143"/>
    <w:bookmarkStart w:name="z171" w:id="144"/>
    <w:p>
      <w:pPr>
        <w:spacing w:after="0"/>
        <w:ind w:left="0"/>
        <w:jc w:val="both"/>
      </w:pPr>
      <w:r>
        <w:rPr>
          <w:rFonts w:ascii="Times New Roman"/>
          <w:b w:val="false"/>
          <w:i w:val="false"/>
          <w:color w:val="000000"/>
          <w:sz w:val="28"/>
        </w:rPr>
        <w:t>
      В качестве ликвидных активов брокера и (или) дилера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bookmarkEnd w:id="144"/>
    <w:bookmarkStart w:name="z172" w:id="145"/>
    <w:p>
      <w:pPr>
        <w:spacing w:after="0"/>
        <w:ind w:left="0"/>
        <w:jc w:val="both"/>
      </w:pPr>
      <w:r>
        <w:rPr>
          <w:rFonts w:ascii="Times New Roman"/>
          <w:b w:val="false"/>
          <w:i w:val="false"/>
          <w:color w:val="000000"/>
          <w:sz w:val="28"/>
        </w:rPr>
        <w:t>
      Брокер и (или) дилер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брокера и (или) дилера.</w:t>
      </w:r>
    </w:p>
    <w:bookmarkEnd w:id="145"/>
    <w:bookmarkStart w:name="z173" w:id="146"/>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на финансовые инструменты, выпущенные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5" w:id="147"/>
    <w:p>
      <w:pPr>
        <w:spacing w:after="0"/>
        <w:ind w:left="0"/>
        <w:jc w:val="both"/>
      </w:pPr>
      <w:r>
        <w:rPr>
          <w:rFonts w:ascii="Times New Roman"/>
          <w:b w:val="false"/>
          <w:i w:val="false"/>
          <w:color w:val="000000"/>
          <w:sz w:val="28"/>
        </w:rPr>
        <w:t>
      "17. В расчет высоколиквидных активов УИП1 или УИП2 включаются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1.1, 1.2, 1.4, 1.5, 1.6, 1.7, 1.8, 1.9, 1.10, 1.12, 1.13, 2.1, 2.2, 2.3, 2.4, 2.8, 2.10, 2.11, 2.14, 3.1, 3.2, 3.5, 4.4, 5.1, 5.2, 5.3, 5.4 (за исключением ценных бумаг являющихся предметом операций репо).</w:t>
      </w:r>
    </w:p>
    <w:bookmarkEnd w:id="147"/>
    <w:bookmarkStart w:name="z176" w:id="148"/>
    <w:p>
      <w:pPr>
        <w:spacing w:after="0"/>
        <w:ind w:left="0"/>
        <w:jc w:val="both"/>
      </w:pPr>
      <w:r>
        <w:rPr>
          <w:rFonts w:ascii="Times New Roman"/>
          <w:b w:val="false"/>
          <w:i w:val="false"/>
          <w:color w:val="000000"/>
          <w:sz w:val="28"/>
        </w:rPr>
        <w:t>
      В качестве ликвидных активов УИП1 или УИП2 признаются активы, указанные в следующих строках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приложению к Правилам, в соответствующих объемах: 1.3, 1.11, 2.5, 2.6, 2.7, 2.9, 2.12, 2.13, 2.15, 2.16, 3.3, 3.4, 3.6, 3.7, 4.1, 4.2, 4.3, 4.5 (за исключением ценных бумаг, являющимися предметом операций репо).</w:t>
      </w:r>
    </w:p>
    <w:bookmarkEnd w:id="148"/>
    <w:bookmarkStart w:name="z177" w:id="149"/>
    <w:p>
      <w:pPr>
        <w:spacing w:after="0"/>
        <w:ind w:left="0"/>
        <w:jc w:val="both"/>
      </w:pPr>
      <w:r>
        <w:rPr>
          <w:rFonts w:ascii="Times New Roman"/>
          <w:b w:val="false"/>
          <w:i w:val="false"/>
          <w:color w:val="000000"/>
          <w:sz w:val="28"/>
        </w:rPr>
        <w:t>
      УИП1 или УИП2 соблюдает норматив диверсификации, при котором объем инвестиций в одного эмитента и его аффилированных лиц составляет не более 20 % от совокупных ликвидных активов УИП1 или УИП2.</w:t>
      </w:r>
    </w:p>
    <w:bookmarkEnd w:id="149"/>
    <w:bookmarkStart w:name="z178" w:id="150"/>
    <w:p>
      <w:pPr>
        <w:spacing w:after="0"/>
        <w:ind w:left="0"/>
        <w:jc w:val="both"/>
      </w:pPr>
      <w:r>
        <w:rPr>
          <w:rFonts w:ascii="Times New Roman"/>
          <w:b w:val="false"/>
          <w:i w:val="false"/>
          <w:color w:val="000000"/>
          <w:sz w:val="28"/>
        </w:rPr>
        <w:t>
      Норма, установленная частью третьей настоящего пункта Методики, не распространяется на финансовые инструменты, выпущенные (предоставленных) аффилированными по отношении друг к другу лицами, более 50 (пятидесяти) процентов голосующих акций которых принадлежат государству или национальному управляющему холдингу или Национальному Банку Республики Казахстан, а также на ценные бумаги являющиеся предметом операции "обратного репо", заключенной с участием центрального контрагента.".</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