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5d85" w14:textId="b3c5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6 августа 2021 года № 4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 финансового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25 ноября 2025 года № 15. Зарегистрировано в Министерстве юстиции Республики Казахстан 26 ноября 2025 года № 37475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августа 2021 года № 4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 финансового сектора" (зарегистрирован в Реестре государственной регистрации нормативных правовых актов № 23942)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нефинансового сектора";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нефинансового сектора.";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 финансового сектора,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4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нефинансового сектора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нефинансового сектора (далее – Требования) разработаны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Международными стандартами Группы разработки финансовых мер борьбы с отмыванием денег (ФАТФ) для субъектов финансового мониторинга, предусмотренных подпунктами 7), 8), 13), 15), 16), 18), 21) и 22)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субъект).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внутреннего контроля являются документом, который регламентирует организационные основы работы, направленные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и устанавливает порядок действий субъекта в целях ПОД/ФТ/ФРОМУ.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внутреннего контроля включают в себя программы, предусмотренные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вправе включать в программы правил внутреннего контроля положения, непредусмотренные Требованиями.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внутреннего контроля утверждаются субъектом (высшим органом управления либо руководителем) и размещаются в личном кабинете.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правил внутреннего контроля, в том числе о наличии безупречной деловой репутации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Программа организации внутреннего контроля включает: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назначения лица, ответственного за реализацию и соблюдение правил внутреннего контроля (далее – ответственное лицо);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полномочия и обязанности, возлагаемые на ответственное лицо;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возложения обязанностей ответственного лица на период его временного отсутствия (отпуск, временная нетрудоспособность, служебная командировка);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полномочия и обязанности структурного подразделения, выполняющего функции по ПОД/ФТ/ФРОМУ (при наличии).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такого структурного подразделения принимается юридическими лицами самостоятельно исходя из особенностей структуры, штатной численности, клиентской базы и степени (уровня) риска совершения клиентом подозрительных операций с деньгами и (или) иным имуществом (далее – подозрительная операция);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описание системы внутреннего контроля субъекта и его филиала (при наличии), а также порядок взаимодействия структурных подразделений юридического лица (работников индивидуального предпринимателя) по вопросам реализации правил внутреннего контроля;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внесения изменений в правила внутреннего контроля;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проверки системы внутреннего контроля;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порядок хранения документов и сведений, полученных в результате реализации обязанностей по ПОД/ФТ/ФРОМУ.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Ответственным лицом назначается физическое лицо, являющееся работником субъекта на основании трудового договора и соответствующее следующим требованиям: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статусом руководителя (не ниже уровня руководителя структурного подразделения) и подчиняющееся непосредственно руководителю юридического лица;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высшее или среднее профессиональное образование;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стаж работы не менее 2 (двух) лет в сфере ПОД/ФТ/ФРОМУ либо в сфере деятельности субъекта;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безупречную деловую репутацию;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сертификат о прохождении тестирования на знание законодательства Республики Казахстан о ПОД/ФТ/ФРОМУ (далее – сертификат). Сертификат размещается в личном кабинете субъекта.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 которое возлагаются обязанности ответственного лица на период его временного отсутствия (отпуск, временная нетрудоспособность, служебная командировка), соответствует требованиям, предъявляемым к ответственному лицу.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назначает себя ответственным лицом, в случае если он является индивидуальным предпринимателем либо физическим лицом. При этом требования, установленные для ответственного лица, на него не распространяются, за исключением наличия сертификата.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Субъектом не реже 1 (одного) раза в год проводится проверка системы внутреннего контроля на соответствие требованиям законодательства Республики Казахстан о ПОД/ФТ/ФРОМУ.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системы внутреннего контроля включает: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выполнения субъектом (ответственным лицом) правил внутреннего контроля и требований законодательства Республики Казахстан о ПОД/ФТ/ФРОМУ;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представление субъекту (высшему органу управления либо руководителю) письменных отчетов о результатах проведенной проверки;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мер, направленных на устранение нарушений, выявленных по результатам проверок.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системы внутреннего контроля осуществляется по решению субъекта внешним аудитом, внутренним аудитом (при его наличии) либо структурным подразделением (работником), не участвующим в системе ПОД/ФТ/ФРОМУ.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не менее 5 (пяти) лет со дня прекращения деловых отношений с клиентом обеспечивает хранение документов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управления рисками включает: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оценки и отнесения клиента к степени (уровню) риска при установлении деловых отношений, а также применения упрощенных или усиленных мер надлежащей проверки клиентов;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пересмотра степени (уровня) риска клиента;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управления рисками;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оценки рисков использования новых услуг (продуктов) и (или) программно-технических средств в целях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ОД/ФТ/ФРОМУ), включающий разработку комплекса мер, направленных на их снижение;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результатов оценки степени (уровня) риска и управления рисками.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степени (уровня) риска осуществляется при установлении деловых отношений и в ходе деловых отношений.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(уровня) риска осуществляется по одной или по совокупности следующих категорий рисков: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связанные со странами и (или) отдельными географическими территориями;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связанные с клиентами;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связанные с услугами (продуктами), каналами поставок, операциями с деньгами и (или) иным имуществом (далее – операция), совершаемыми клиентом.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устанавливает дополнительные категории рисков с учетом особенностей своей деятельности.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 при оценке степени (уровня) риска учитывает следующие факторы: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национальной и секторальной оценки рисков;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виды деятельности клиентов, а также используемые ими услуги (продукты);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и сведения, а также рекомендации уполномоченного органа;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типологии, схемы и способы ОД/ФТ/ФРОМУ, размещенные на интернет-ресурсе уполномоченного органа, и от других доступных источников;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операций, видов и условий деятельности, имеющих повышенные риски совершения клиентами операций в целях ОД/ФТ/ФРОМУ, с учетом рекомендаций Группы разработки финансовых мер борьбы с отмыванием денег (ФАТФ).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разрабатывает дополнительные факторы для оценки степени (уровня) риска с учетом особенностей своей деятельности.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оценке степени (уровня) риска проводится отнесение клиентов к следующим уровням риска: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(уровень) риска;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степень (уровень) риска.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о присвоении клиенту степени (уровня) риска принимается субъектом по итогам изучения имеющейся информации о клиенте (его представителе) и бенефициарном собственнике, а также об операциях, совершаемых клиентом либо в интересах клиента.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длительном (длящимся) характере деловых отношений субъект осуществляет постоянный мониторинг уровня риска клиента.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пересмотре группы риска принимается при выявлении факторов, на основании которых оценивается степень (уровень) риска.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рисками реализуется посредством осуществления действий по снижению риска в рамках мер, предусмотренных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клиентах с высокой степенью (уровнем) риска осуществляется не реже 1 (одного) раза в полугодие.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рисков новых услуг (продуктов) и (или) программно-технических средств проводится до их введения.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 ежегодно осуществляет оценку степени (уровня) подверженности клиентов, услуг (продуктов) рискам ОД/ФТ/ФРОМУ.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степени (уровня) риска ОД/ФТ/ФРОМУ размещаются в личном кабинете субъекта в срок до 10 (десятого) января года, следующего за отчетным годом.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Программа идентификации клиента включает: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мер надлежащей проверки клиента (его представителя) и бенефициарного собственника, а также подтверждения достоверности полученных сведений;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наличия клиента (его представителя) и бенефициарного собственника в перечнях организаций и лиц, связанных с финансированием терроризма и экстремизма, и финансированием распространения оружия массового уничтожения;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выявления иностранных публичных должностных лиц, а также лиц, находящихся в перечне публичных должностных лиц, утверждаемом Президентом Республики Казахстан, с определением источников происхождения денежных средств или иного имущества;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выявления физических и юридических лиц, имеющих регистрацию, место жительства или место нахождения в государстве (на территории), которое не выполняет рекомендации Группы разработки финансовых мер борьбы с отмыванием денег (ФАТФ).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Способы и формы фиксирования сведений, получаемых в результате идентификации клиентов (их представителей) и бенефициарных собственников определяются субъектом самостоятельно.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Программа мониторинга и изучения операций клиентов включает: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процедуры выявления операций, подлежащих финансовому мониторингу и подозрительной деятельности;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принятия решения об отказе в проведении операции либо установлении (прекращении) деловых отношений;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периодичность проведения сверки на наличие своих клиентов, в отношении которых должны применяться меры по замораживанию операций;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принятия мер по замораживанию операций;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действий, связанных с приостановлением операций;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взаимодействия и информирования клиента о применяемых мерах по ПОД/ФТ/ФРОМУ с учетом требований, предусмотренных пунктами 5 и 5-1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взаимодействия с клиентами для осуществления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представления в уполномоченный орган сообщений о фактах отказа в совершении операции либо установлении (прекращении) деловых отношений, замораживания и приостановления операций.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программу мониторинга и изучения операций клиентов включаются признаки подозрительных операций и (или) деятельности, типологии, схемы и способы ОД/ФТ/ФРОМУ.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вправе включить в программу мониторинга и изучения операций клиентов дополнительные признаки подозрительных операций и (или) деятельности, типологии, схемы и способы ОД/ФТ/ФРОМУ.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о признании операции и (или) деятельности клиента подозрительной принимается субъектом на основании информации о финансово-хозяйственной деятельности, финансовом положении и деловой репутации клиента (его представителя) и бенефициарного собственника.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 подозрительной операции и (или) деятельности субъектом проводится мониторинг операций клиента и изучение информации, имеющейся в его распоряжении. В решении субъекта фиксируются дата и основания признания операции и (или) деятельности подозрительной.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Сообщения об операциях, подлежащих финансовому мониторингу, направляются субъектом в уполномоченный орган посредством личного кабинета.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мониторинга операций клиентов и изучения информации используются субъектом для ежегодной оценки степени (уровня) риска и управления рисками ОД/ФТ/ФРОМУ, а также для пересмотра уровня риска клиентов.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Программа подготовки и обучения субъекта в сфере ПОД/ФТ/ФРОМУ разрабатывается в соответствии с Требованиями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9 августа 2021 года № 6 (зарегистрированного в Реестре государственной регистрации нормативных правовых актов № 23952).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