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7fb4" w14:textId="c217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ноября 2025 года № 129. Зарегистрирован в Министерстве юстиции Республики Казахстан 3 ноября 2025 года № 37327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видов высокотехнологичной медицинской помощи, а также критериях, согласно которым виды высокотехнологичной медицинской помощи переходят в перечень услуг специализированной медицинской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Кодекса Республики Казахстан "О здоровье народа и системе здравоохранения" (далее – Кодекс) и определяют порядок определения видов высокотехнологичной медицинской помощи (далее – ВТМП), а также критерии, согласно которым виды ВТМП переходят в перечень услуг специализированной медицинской помощи (далее – СМП).";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а также критериям,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которым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переходят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услуг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видов высокотехнологичной медицинской помощи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критерия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Инновационность (новизна)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применяется в мире менее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применяется в мире 5-10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применяется в мире более 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применяется в мире более 15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Ресурсоемкость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технологии требует дорогостоящих лекарственных средств, медицинских изделий, медицинской техники, значительных трудовых и временных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технологии требует дорогостоящих лекарственных средств, медицинских изделий,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технологии требует значительных трудовых и временных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технологии не требует дорогостоящих лекарственных средств, медицинских изделий, медицинской техники, не требует значительных трудовых и временных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 имеет аналогов и (или) альтернативных методов лечения в Казахстане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превосходит по эффективности существующие в Казахстане аналоги и (или) альтернативные методы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сопоставима по эффективности с существующими в Казахстане аналогами и (или) альтернативными методами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уступает по эффективности существующим в Казахстане аналогам и (или) альтернативным методам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отличается высокой сложностью выполнения и требуют исключительных навыков (например, симультанные, комбинированные или реконструктивные операции). Дополнительно учитываются анатомо-физиологические особенности пациента (применение технологии у детей неонатального возраста), требующие использования специализированного оборудования, адаптированного к особенностям тканей и органов. Такие операции имеют высокий риск осложнений и требуют тщательного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имеющие среднюю степень сложности, которые включают несколько этапов и требуют высокого уровня подготовки хирурга и медицинского персонала. Операции могут быть комбинированными или реконструктивными, но проводятся у детей и взрослых пациентов без сложных анатомических или физиологических особенностей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имеет низкую степень сложности выполнения (например, плановые операции) и проводятся в стандартных условиях с использованием базового хирургического оборудования. Эти операции обычно одноэтапные и имеют низкий уровень риска для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которые не предполагают сложности, включают в себя очень простые процедуры, проводимые в амбулаторных условиях. Они не требуют специальной подготовки и могут выполняться быстро, с использованием минимального количества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