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5288" w14:textId="4ae5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внутренних дел Республики Казахстан от 28 марта 2019 года № 237 и Министра индустрии и инфраструктурного развития от 29 марта 2019 года № 162 "Об утверждении перечня измерений, относящихся к государственному регулированию"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25 апреля 2025 года № 329 и Министра торговли и интеграции Республики Казахстан от 28 апреля 2025 года № 147-НҚ. Зарегистрирован в Министерстве юстиции Республики Казахстан 30 апреля 2025 года № 36048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марта 2019 года № 237 и Министра индустрии и инфраструктурного развития от 29 марта 2019 года № 162 "Об утверждении перечня измерений, относящихся к государственному регулированию" (зарегистрирован в реестре государственной регистрации нормативных правовых актов за № 18438)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измерений, относящихся к государственному регулированию,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подпунктом 1)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внутренних дел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№237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измерений, относящихся к государственному регулированию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измерений с указанием объекта и области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требования к измерениям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погрешность или класс точности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движения транспортных средств (км/ч) мобильными скоростемерами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250 км/ч.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км/ч.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превышения установленной скорости движения;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движения транспортных средств (км/ч) стационарными скоростемерами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250 км/ч.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км/ч.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суммарного люфта в рулевом управлении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0° до 30°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под № 33003)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светопропускания ветрового стекла и передних боковых стекол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0 % до 70 %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остаточной высоты рисунка протектора 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150 мм.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0,01мм.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компонентов в отработавших газах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CO от 0 до 5 % объемной доли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± 0,03 % Относительная ±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CO2 от 0 до 16% объемной доли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± 0,5 % Относительная ±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O2 от 0 до 21% объемной доли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± 0,1 % Относительная ±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СН от 0 млн-1 до 2000 % млн-1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± 10 млн-1 Относительная ±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средней скорости движения транспортных средств (км/ч) стационарными скоростемерами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км/ч при подсчете средней скорости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превышения средней скорости движения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контролируемого участка проходимого транспортного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1 % предел допускаемой погрешности вычисления пройденного расстояния транспортного средства в зоне контролируемого участка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нарушения правил остановки или стоянки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проезда на запрещающий сигнал светофора;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несоблюдения требований, предписанных дорожными знаками или разметкой проезжей части дороги;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нарушения правил маневрирования;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непредоставления преимущества в движении пешеходам или иным участникам дорожного движения.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координат расположения аппаратно-программных комплексов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расстояния между габаритами транспортных средств по выступающим точкам и дорожной разметкой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погрешности синхронизации времени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времени правонарушения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