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dfa2" w14:textId="94ad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по Баянаульскому району</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31 июля 2024 года № 193/21. Зарегистрировано в Департаменте юстиции Павлодарской области 1 августа 2024 года № 7575-14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Баянаульский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по Баянаульскому району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Баянаульского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постоянные комиссии Баянаульского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Баянаульского районного маслихатаР.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193/21</w:t>
            </w:r>
          </w:p>
        </w:tc>
      </w:tr>
    </w:tbl>
    <w:p>
      <w:pPr>
        <w:spacing w:after="0"/>
        <w:ind w:left="0"/>
        <w:jc w:val="left"/>
      </w:pPr>
      <w:r>
        <w:rPr>
          <w:rFonts w:ascii="Times New Roman"/>
          <w:b/>
          <w:i w:val="false"/>
          <w:color w:val="000000"/>
        </w:rPr>
        <w:t xml:space="preserve"> Размер и порядок оказания жилищной помощи по Баянаульскому району</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постоянно зарегистрированным и проживающим в жилище на территории Баянаульского района,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Start w:name="z9" w:id="7"/>
    <w:p>
      <w:pPr>
        <w:spacing w:after="0"/>
        <w:ind w:left="0"/>
        <w:jc w:val="both"/>
      </w:pPr>
      <w:r>
        <w:rPr>
          <w:rFonts w:ascii="Times New Roman"/>
          <w:b w:val="false"/>
          <w:i w:val="false"/>
          <w:color w:val="000000"/>
          <w:sz w:val="28"/>
        </w:rPr>
        <w:t>
      2. Назначение жилищной помощи малообеспеченным семьям (гражданам) оказывается на бесплатной основе Государственным учреждением "Отдел занятости и социальных программ Баянаульского района" (далее - уполномоченный орган).</w:t>
      </w:r>
    </w:p>
    <w:bookmarkEnd w:id="7"/>
    <w:bookmarkStart w:name="z10" w:id="8"/>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 на эти цели, в размере 5 (пяти) процентов.</w:t>
      </w:r>
    </w:p>
    <w:bookmarkEnd w:id="8"/>
    <w:bookmarkStart w:name="z11" w:id="9"/>
    <w:p>
      <w:pPr>
        <w:spacing w:after="0"/>
        <w:ind w:left="0"/>
        <w:jc w:val="left"/>
      </w:pPr>
      <w:r>
        <w:rPr>
          <w:rFonts w:ascii="Times New Roman"/>
          <w:b/>
          <w:i w:val="false"/>
          <w:color w:val="000000"/>
        </w:rPr>
        <w:t xml:space="preserve"> Глава 2. Размер оказания жилищной помощи</w:t>
      </w:r>
    </w:p>
    <w:bookmarkEnd w:id="9"/>
    <w:bookmarkStart w:name="z12" w:id="10"/>
    <w:p>
      <w:pPr>
        <w:spacing w:after="0"/>
        <w:ind w:left="0"/>
        <w:jc w:val="both"/>
      </w:pPr>
      <w:r>
        <w:rPr>
          <w:rFonts w:ascii="Times New Roman"/>
          <w:b w:val="false"/>
          <w:i w:val="false"/>
          <w:color w:val="000000"/>
          <w:sz w:val="28"/>
        </w:rPr>
        <w:t>
      4. Назначение жилищной помощи услугополучателям производится в соответствии с нижеследующей нормой:</w:t>
      </w:r>
    </w:p>
    <w:bookmarkEnd w:id="10"/>
    <w:p>
      <w:pPr>
        <w:spacing w:after="0"/>
        <w:ind w:left="0"/>
        <w:jc w:val="both"/>
      </w:pPr>
      <w:r>
        <w:rPr>
          <w:rFonts w:ascii="Times New Roman"/>
          <w:b w:val="false"/>
          <w:i w:val="false"/>
          <w:color w:val="000000"/>
          <w:sz w:val="28"/>
        </w:rPr>
        <w:t>
      - для одинокопроживающих граждан – 30 (тридцать) квадратных метров от общей площади жилища;</w:t>
      </w:r>
    </w:p>
    <w:p>
      <w:pPr>
        <w:spacing w:after="0"/>
        <w:ind w:left="0"/>
        <w:jc w:val="both"/>
      </w:pPr>
      <w:r>
        <w:rPr>
          <w:rFonts w:ascii="Times New Roman"/>
          <w:b w:val="false"/>
          <w:i w:val="false"/>
          <w:color w:val="000000"/>
          <w:sz w:val="28"/>
        </w:rPr>
        <w:t>
      - для семей из 2-х и более человек – 18 (восемнадцать) квадратных метров на одного человека от общей площади жилища.</w:t>
      </w:r>
    </w:p>
    <w:p>
      <w:pPr>
        <w:spacing w:after="0"/>
        <w:ind w:left="0"/>
        <w:jc w:val="both"/>
      </w:pPr>
      <w:r>
        <w:rPr>
          <w:rFonts w:ascii="Times New Roman"/>
          <w:b w:val="false"/>
          <w:i w:val="false"/>
          <w:color w:val="000000"/>
          <w:sz w:val="28"/>
        </w:rPr>
        <w:t>
      Норму потребления электрической энергии определить для потребителей, использующих электрические плиты в размере – 110 (сто десять) киловатт в месяц на одного человека;</w:t>
      </w:r>
    </w:p>
    <w:p>
      <w:pPr>
        <w:spacing w:after="0"/>
        <w:ind w:left="0"/>
        <w:jc w:val="both"/>
      </w:pPr>
      <w:r>
        <w:rPr>
          <w:rFonts w:ascii="Times New Roman"/>
          <w:b w:val="false"/>
          <w:i w:val="false"/>
          <w:color w:val="000000"/>
          <w:sz w:val="28"/>
        </w:rPr>
        <w:t xml:space="preserve">
      Для потребителей, не использующих электрические плиты – 90 (девяносто) киловатт в месяц на одного человека. </w:t>
      </w:r>
    </w:p>
    <w:bookmarkStart w:name="z13" w:id="11"/>
    <w:p>
      <w:pPr>
        <w:spacing w:after="0"/>
        <w:ind w:left="0"/>
        <w:jc w:val="both"/>
      </w:pPr>
      <w:r>
        <w:rPr>
          <w:rFonts w:ascii="Times New Roman"/>
          <w:b w:val="false"/>
          <w:i w:val="false"/>
          <w:color w:val="000000"/>
          <w:sz w:val="28"/>
        </w:rPr>
        <w:t xml:space="preserve">
      5. Компенсация услуг связи в части увеличения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1"/>
    <w:bookmarkStart w:name="z14" w:id="12"/>
    <w:p>
      <w:pPr>
        <w:spacing w:after="0"/>
        <w:ind w:left="0"/>
        <w:jc w:val="left"/>
      </w:pPr>
      <w:r>
        <w:rPr>
          <w:rFonts w:ascii="Times New Roman"/>
          <w:b/>
          <w:i w:val="false"/>
          <w:color w:val="000000"/>
        </w:rPr>
        <w:t xml:space="preserve"> Глава 3. Порядок оказания жилищной помощи</w:t>
      </w:r>
    </w:p>
    <w:bookmarkEnd w:id="12"/>
    <w:bookmarkStart w:name="z15" w:id="13"/>
    <w:p>
      <w:pPr>
        <w:spacing w:after="0"/>
        <w:ind w:left="0"/>
        <w:jc w:val="both"/>
      </w:pPr>
      <w:r>
        <w:rPr>
          <w:rFonts w:ascii="Times New Roman"/>
          <w:b w:val="false"/>
          <w:i w:val="false"/>
          <w:color w:val="000000"/>
          <w:sz w:val="28"/>
        </w:rPr>
        <w:t>
      6.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w:t>
      </w:r>
    </w:p>
    <w:bookmarkEnd w:id="13"/>
    <w:bookmarkStart w:name="z16" w:id="14"/>
    <w:p>
      <w:pPr>
        <w:spacing w:after="0"/>
        <w:ind w:left="0"/>
        <w:jc w:val="both"/>
      </w:pPr>
      <w:r>
        <w:rPr>
          <w:rFonts w:ascii="Times New Roman"/>
          <w:b w:val="false"/>
          <w:i w:val="false"/>
          <w:color w:val="000000"/>
          <w:sz w:val="28"/>
        </w:rPr>
        <w:t xml:space="preserve">
      7. Совокупный доход услугополучателя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(далее – Правила).</w:t>
      </w:r>
    </w:p>
    <w:bookmarkEnd w:id="14"/>
    <w:bookmarkStart w:name="z17" w:id="15"/>
    <w:p>
      <w:pPr>
        <w:spacing w:after="0"/>
        <w:ind w:left="0"/>
        <w:jc w:val="both"/>
      </w:pPr>
      <w:r>
        <w:rPr>
          <w:rFonts w:ascii="Times New Roman"/>
          <w:b w:val="false"/>
          <w:i w:val="false"/>
          <w:color w:val="000000"/>
          <w:sz w:val="28"/>
        </w:rPr>
        <w:t>
      8. Услугополучатель либо его представитель в силу полномочия, основанного на доверенности, законодательстве, решении суда либо административном акте обращается за назначением жилищной помощи один раз в квартал в Государственную корпорацию или веб-портал "электронного правительства" с предоставлением следующих документов:</w:t>
      </w:r>
    </w:p>
    <w:bookmarkEnd w:id="15"/>
    <w:p>
      <w:pPr>
        <w:spacing w:after="0"/>
        <w:ind w:left="0"/>
        <w:jc w:val="both"/>
      </w:pPr>
      <w:r>
        <w:rPr>
          <w:rFonts w:ascii="Times New Roman"/>
          <w:b w:val="false"/>
          <w:i w:val="false"/>
          <w:color w:val="000000"/>
          <w:sz w:val="28"/>
        </w:rPr>
        <w:t xml:space="preserve">
      1) в Государственную корпорацию: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электронной цифровой подписью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электронную копию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электронную копию счета на потребление коммунальных услуг;</w:t>
      </w:r>
    </w:p>
    <w:p>
      <w:pPr>
        <w:spacing w:after="0"/>
        <w:ind w:left="0"/>
        <w:jc w:val="both"/>
      </w:pPr>
      <w:r>
        <w:rPr>
          <w:rFonts w:ascii="Times New Roman"/>
          <w:b w:val="false"/>
          <w:i w:val="false"/>
          <w:color w:val="000000"/>
          <w:sz w:val="28"/>
        </w:rPr>
        <w:t>
      электронную копию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электронную копию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Start w:name="z18" w:id="16"/>
    <w:p>
      <w:pPr>
        <w:spacing w:after="0"/>
        <w:ind w:left="0"/>
        <w:jc w:val="both"/>
      </w:pPr>
      <w:r>
        <w:rPr>
          <w:rFonts w:ascii="Times New Roman"/>
          <w:b w:val="false"/>
          <w:i w:val="false"/>
          <w:color w:val="000000"/>
          <w:sz w:val="28"/>
        </w:rPr>
        <w:t xml:space="preserve">
      9.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 согласно </w:t>
      </w:r>
      <w:r>
        <w:rPr>
          <w:rFonts w:ascii="Times New Roman"/>
          <w:b w:val="false"/>
          <w:i w:val="false"/>
          <w:color w:val="000000"/>
          <w:sz w:val="28"/>
        </w:rPr>
        <w:t>пункта 12</w:t>
      </w:r>
      <w:r>
        <w:rPr>
          <w:rFonts w:ascii="Times New Roman"/>
          <w:b w:val="false"/>
          <w:i w:val="false"/>
          <w:color w:val="000000"/>
          <w:sz w:val="28"/>
        </w:rPr>
        <w:t>, главы 2 Правил.</w:t>
      </w:r>
    </w:p>
    <w:bookmarkEnd w:id="16"/>
    <w:bookmarkStart w:name="z19" w:id="17"/>
    <w:p>
      <w:pPr>
        <w:spacing w:after="0"/>
        <w:ind w:left="0"/>
        <w:jc w:val="both"/>
      </w:pPr>
      <w:r>
        <w:rPr>
          <w:rFonts w:ascii="Times New Roman"/>
          <w:b w:val="false"/>
          <w:i w:val="false"/>
          <w:color w:val="000000"/>
          <w:sz w:val="28"/>
        </w:rPr>
        <w:t xml:space="preserve">
      10. Основания для отказа в предоставление жилищной помощи предусмотрены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17"/>
    <w:bookmarkStart w:name="z20" w:id="18"/>
    <w:p>
      <w:pPr>
        <w:spacing w:after="0"/>
        <w:ind w:left="0"/>
        <w:jc w:val="both"/>
      </w:pPr>
      <w:r>
        <w:rPr>
          <w:rFonts w:ascii="Times New Roman"/>
          <w:b w:val="false"/>
          <w:i w:val="false"/>
          <w:color w:val="000000"/>
          <w:sz w:val="28"/>
        </w:rPr>
        <w:t>
      11.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8"/>
    <w:bookmarkStart w:name="z21" w:id="19"/>
    <w:p>
      <w:pPr>
        <w:spacing w:after="0"/>
        <w:ind w:left="0"/>
        <w:jc w:val="both"/>
      </w:pPr>
      <w:r>
        <w:rPr>
          <w:rFonts w:ascii="Times New Roman"/>
          <w:b w:val="false"/>
          <w:i w:val="false"/>
          <w:color w:val="000000"/>
          <w:sz w:val="28"/>
        </w:rPr>
        <w:t>
      12. Порядок обжалования решений, действий (бездействий) уполномоченного органа и (или) его должностных лиц по вопросам оказания государственных услуг производится в соответствии с действующим законодательством.</w:t>
      </w:r>
    </w:p>
    <w:bookmarkEnd w:id="19"/>
    <w:bookmarkStart w:name="z22" w:id="20"/>
    <w:p>
      <w:pPr>
        <w:spacing w:after="0"/>
        <w:ind w:left="0"/>
        <w:jc w:val="both"/>
      </w:pPr>
      <w:r>
        <w:rPr>
          <w:rFonts w:ascii="Times New Roman"/>
          <w:b w:val="false"/>
          <w:i w:val="false"/>
          <w:color w:val="000000"/>
          <w:sz w:val="28"/>
        </w:rPr>
        <w:t>
      13. Выплата жилищной помощи услугополучателю приостанавливается, в случае,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 за коммунальные услуги, услуги связи в части увеличения абонентской платы за телефон, подключенный к сети телекоммуникации, арендной платы за пользованием жилищем из государственного жилищного фонда.</w:t>
      </w:r>
    </w:p>
    <w:bookmarkEnd w:id="20"/>
    <w:bookmarkStart w:name="z23" w:id="21"/>
    <w:p>
      <w:pPr>
        <w:spacing w:after="0"/>
        <w:ind w:left="0"/>
        <w:jc w:val="both"/>
      </w:pPr>
      <w:r>
        <w:rPr>
          <w:rFonts w:ascii="Times New Roman"/>
          <w:b w:val="false"/>
          <w:i w:val="false"/>
          <w:color w:val="000000"/>
          <w:sz w:val="28"/>
        </w:rPr>
        <w:t>
      14. При предоставлении заявителем неполных или недостоверных сведений, повлекших за собой назначение жилищной помощи, заявителю и его семье выплата жилищной помощи прекращается, а полученные средства подлежат возврату согласно действующему законодательству.</w:t>
      </w:r>
    </w:p>
    <w:bookmarkEnd w:id="21"/>
    <w:bookmarkStart w:name="z24" w:id="22"/>
    <w:p>
      <w:pPr>
        <w:spacing w:after="0"/>
        <w:ind w:left="0"/>
        <w:jc w:val="both"/>
      </w:pPr>
      <w:r>
        <w:rPr>
          <w:rFonts w:ascii="Times New Roman"/>
          <w:b w:val="false"/>
          <w:i w:val="false"/>
          <w:color w:val="000000"/>
          <w:sz w:val="28"/>
        </w:rPr>
        <w:t>
      15.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w:t>
      </w:r>
    </w:p>
    <w:bookmarkEnd w:id="22"/>
    <w:bookmarkStart w:name="z25" w:id="23"/>
    <w:p>
      <w:pPr>
        <w:spacing w:after="0"/>
        <w:ind w:left="0"/>
        <w:jc w:val="both"/>
      </w:pPr>
      <w:r>
        <w:rPr>
          <w:rFonts w:ascii="Times New Roman"/>
          <w:b w:val="false"/>
          <w:i w:val="false"/>
          <w:color w:val="000000"/>
          <w:sz w:val="28"/>
        </w:rPr>
        <w:t>
      16.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25 числа месяца следующего за месяцем принятия решения о назначении жилищной помощи.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193/21</w:t>
            </w:r>
          </w:p>
        </w:tc>
      </w:tr>
    </w:tbl>
    <w:bookmarkStart w:name="z27" w:id="24"/>
    <w:p>
      <w:pPr>
        <w:spacing w:after="0"/>
        <w:ind w:left="0"/>
        <w:jc w:val="left"/>
      </w:pPr>
      <w:r>
        <w:rPr>
          <w:rFonts w:ascii="Times New Roman"/>
          <w:b/>
          <w:i w:val="false"/>
          <w:color w:val="000000"/>
        </w:rPr>
        <w:t xml:space="preserve"> Перечень утративших силу некоторых решений Баянаульского районного маслихата</w:t>
      </w:r>
    </w:p>
    <w:bookmarkEnd w:id="24"/>
    <w:bookmarkStart w:name="z28" w:id="25"/>
    <w:p>
      <w:pPr>
        <w:spacing w:after="0"/>
        <w:ind w:left="0"/>
        <w:jc w:val="both"/>
      </w:pPr>
      <w:r>
        <w:rPr>
          <w:rFonts w:ascii="Times New Roman"/>
          <w:b w:val="false"/>
          <w:i w:val="false"/>
          <w:color w:val="000000"/>
          <w:sz w:val="28"/>
        </w:rPr>
        <w:t xml:space="preserve">
      1. Решение Баянаульского районного маслихата от 24 июля 2017 года </w:t>
      </w:r>
      <w:r>
        <w:rPr>
          <w:rFonts w:ascii="Times New Roman"/>
          <w:b w:val="false"/>
          <w:i w:val="false"/>
          <w:color w:val="000000"/>
          <w:sz w:val="28"/>
        </w:rPr>
        <w:t>№ 101/16</w:t>
      </w:r>
      <w:r>
        <w:rPr>
          <w:rFonts w:ascii="Times New Roman"/>
          <w:b w:val="false"/>
          <w:i w:val="false"/>
          <w:color w:val="000000"/>
          <w:sz w:val="28"/>
        </w:rPr>
        <w:t xml:space="preserve">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5591).</w:t>
      </w:r>
    </w:p>
    <w:bookmarkEnd w:id="25"/>
    <w:bookmarkStart w:name="z29" w:id="26"/>
    <w:p>
      <w:pPr>
        <w:spacing w:after="0"/>
        <w:ind w:left="0"/>
        <w:jc w:val="both"/>
      </w:pPr>
      <w:r>
        <w:rPr>
          <w:rFonts w:ascii="Times New Roman"/>
          <w:b w:val="false"/>
          <w:i w:val="false"/>
          <w:color w:val="000000"/>
          <w:sz w:val="28"/>
        </w:rPr>
        <w:t xml:space="preserve">
      2. Решение Баянаульского районного маслихата от 23 июня 2023 года </w:t>
      </w:r>
      <w:r>
        <w:rPr>
          <w:rFonts w:ascii="Times New Roman"/>
          <w:b w:val="false"/>
          <w:i w:val="false"/>
          <w:color w:val="000000"/>
          <w:sz w:val="28"/>
        </w:rPr>
        <w:t>№ 41/5</w:t>
      </w:r>
      <w:r>
        <w:rPr>
          <w:rFonts w:ascii="Times New Roman"/>
          <w:b w:val="false"/>
          <w:i w:val="false"/>
          <w:color w:val="000000"/>
          <w:sz w:val="28"/>
        </w:rPr>
        <w:t xml:space="preserve"> "О внесении изменений в решение Баянаульского районного маслихата от 24 июля 2017 года № 101/16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7364-14).</w:t>
      </w:r>
    </w:p>
    <w:bookmarkEnd w:id="26"/>
    <w:bookmarkStart w:name="z30" w:id="27"/>
    <w:p>
      <w:pPr>
        <w:spacing w:after="0"/>
        <w:ind w:left="0"/>
        <w:jc w:val="both"/>
      </w:pPr>
      <w:r>
        <w:rPr>
          <w:rFonts w:ascii="Times New Roman"/>
          <w:b w:val="false"/>
          <w:i w:val="false"/>
          <w:color w:val="000000"/>
          <w:sz w:val="28"/>
        </w:rPr>
        <w:t xml:space="preserve">
      3. Решение Баянаульского районного маслихата от 14 декабря 2023 года </w:t>
      </w:r>
      <w:r>
        <w:rPr>
          <w:rFonts w:ascii="Times New Roman"/>
          <w:b w:val="false"/>
          <w:i w:val="false"/>
          <w:color w:val="000000"/>
          <w:sz w:val="28"/>
        </w:rPr>
        <w:t>№ 83/11</w:t>
      </w:r>
      <w:r>
        <w:rPr>
          <w:rFonts w:ascii="Times New Roman"/>
          <w:b w:val="false"/>
          <w:i w:val="false"/>
          <w:color w:val="000000"/>
          <w:sz w:val="28"/>
        </w:rPr>
        <w:t xml:space="preserve"> "О внесении изменения в решение Баянаульского районного маслихата от 24 июля 2017 года № 101/16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7444-14).</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