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4577" w14:textId="ca14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29 ноября 2023 года № 64 "Об утверждении Правил оказания социальной помощи, установления еҰ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11 октября 2024 года № 150. Зарегистрировано в Департаменте юстиции Костанайской области 18 октября 2024 года № 10287-10</w:t>
      </w:r>
    </w:p>
    <w:p>
      <w:pPr>
        <w:spacing w:after="0"/>
        <w:ind w:left="0"/>
        <w:jc w:val="both"/>
      </w:pPr>
      <w:bookmarkStart w:name="z4" w:id="0"/>
      <w:r>
        <w:rPr>
          <w:rFonts w:ascii="Times New Roman"/>
          <w:b w:val="false"/>
          <w:i w:val="false"/>
          <w:color w:val="000000"/>
          <w:sz w:val="28"/>
        </w:rPr>
        <w:t>
      Карабалыкский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29 ноября 2023 года № 64 (зарегистрировано в Реестре государственной регистрации нормативных правовых актов под № 10107-10)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района, осуществляющий оказание социальной помощи;</w:t>
      </w:r>
    </w:p>
    <w:bookmarkEnd w:id="8"/>
    <w:bookmarkStart w:name="z14"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15"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6" w:id="11"/>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1"/>
    <w:bookmarkStart w:name="z17" w:id="12"/>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21"/>
    <w:bookmarkStart w:name="z29"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3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3"/>
    <w:bookmarkStart w:name="z3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26"/>
    <w:bookmarkStart w:name="z3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27"/>
    <w:bookmarkStart w:name="z35"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8"/>
    <w:bookmarkStart w:name="z3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29"/>
    <w:bookmarkStart w:name="z37" w:id="3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0"/>
    <w:bookmarkStart w:name="z38"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4"/>
    <w:bookmarkStart w:name="z42"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3) День защитника Отечества – 7 мая:</w:t>
      </w:r>
    </w:p>
    <w:bookmarkEnd w:id="36"/>
    <w:bookmarkStart w:name="z44" w:id="3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1"/>
    <w:bookmarkStart w:name="z49" w:id="4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2"/>
    <w:bookmarkStart w:name="z50" w:id="4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4"/>
    <w:bookmarkStart w:name="z52" w:id="45"/>
    <w:p>
      <w:pPr>
        <w:spacing w:after="0"/>
        <w:ind w:left="0"/>
        <w:jc w:val="both"/>
      </w:pPr>
      <w:r>
        <w:rPr>
          <w:rFonts w:ascii="Times New Roman"/>
          <w:b w:val="false"/>
          <w:i w:val="false"/>
          <w:color w:val="000000"/>
          <w:sz w:val="28"/>
        </w:rPr>
        <w:t>
      4) День Победы – 9 мая:</w:t>
      </w:r>
    </w:p>
    <w:bookmarkEnd w:id="45"/>
    <w:bookmarkStart w:name="z53" w:id="46"/>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6"/>
    <w:bookmarkStart w:name="z54" w:id="4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7"/>
    <w:bookmarkStart w:name="z55"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8"/>
    <w:bookmarkStart w:name="z56" w:id="4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0"/>
    <w:bookmarkStart w:name="z58" w:id="5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1"/>
    <w:bookmarkStart w:name="z59" w:id="5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2"/>
    <w:bookmarkStart w:name="z60"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3"/>
    <w:bookmarkStart w:name="z61" w:id="5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4"/>
    <w:bookmarkStart w:name="z62" w:id="5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5"/>
    <w:bookmarkStart w:name="z63"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56"/>
    <w:bookmarkStart w:name="z64" w:id="5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7"/>
    <w:bookmarkStart w:name="z65" w:id="5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8"/>
    <w:bookmarkStart w:name="z66" w:id="5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9"/>
    <w:bookmarkStart w:name="z67" w:id="6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0"/>
    <w:bookmarkStart w:name="z68" w:id="6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1"/>
    <w:bookmarkStart w:name="z69" w:id="6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2"/>
    <w:bookmarkStart w:name="z70" w:id="6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3"/>
    <w:bookmarkStart w:name="z71"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4"/>
    <w:bookmarkStart w:name="z72"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5"/>
    <w:bookmarkStart w:name="z73" w:id="6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6"/>
    <w:bookmarkStart w:name="z74" w:id="6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7"/>
    <w:bookmarkStart w:name="z75" w:id="6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8"/>
    <w:bookmarkStart w:name="z76" w:id="6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69"/>
    <w:bookmarkStart w:name="z77" w:id="7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0"/>
    <w:bookmarkStart w:name="z78" w:id="7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1"/>
    <w:bookmarkStart w:name="z79" w:id="7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2"/>
    <w:bookmarkStart w:name="z80" w:id="73"/>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73"/>
    <w:bookmarkStart w:name="z81" w:id="74"/>
    <w:p>
      <w:pPr>
        <w:spacing w:after="0"/>
        <w:ind w:left="0"/>
        <w:jc w:val="both"/>
      </w:pPr>
      <w:r>
        <w:rPr>
          <w:rFonts w:ascii="Times New Roman"/>
          <w:b w:val="false"/>
          <w:i w:val="false"/>
          <w:color w:val="000000"/>
          <w:sz w:val="28"/>
        </w:rPr>
        <w:t>
      "10)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14) и 15) следующего содержания:</w:t>
      </w:r>
    </w:p>
    <w:bookmarkStart w:name="z83" w:id="75"/>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5"/>
    <w:bookmarkStart w:name="z84" w:id="76"/>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6"/>
    <w:bookmarkStart w:name="z85" w:id="7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87" w:id="78"/>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78"/>
    <w:bookmarkStart w:name="z88" w:id="79"/>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90" w:id="8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села,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0"/>
    <w:bookmarkStart w:name="z91" w:id="81"/>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1"/>
    <w:bookmarkStart w:name="z92" w:id="8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2"/>
    <w:bookmarkStart w:name="z93" w:id="83"/>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83"/>
    <w:bookmarkStart w:name="z94" w:id="84"/>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представляет документ, подтверждающий факт заболевания вирусом иммунодефицита человека;</w:t>
      </w:r>
    </w:p>
    <w:bookmarkEnd w:id="84"/>
    <w:bookmarkStart w:name="z95" w:id="85"/>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85"/>
    <w:bookmarkStart w:name="z96" w:id="86"/>
    <w:p>
      <w:pPr>
        <w:spacing w:after="0"/>
        <w:ind w:left="0"/>
        <w:jc w:val="both"/>
      </w:pPr>
      <w:r>
        <w:rPr>
          <w:rFonts w:ascii="Times New Roman"/>
          <w:b w:val="false"/>
          <w:i w:val="false"/>
          <w:color w:val="000000"/>
          <w:sz w:val="28"/>
        </w:rPr>
        <w:t xml:space="preserve">
      лица, указанные в подпунктах 5),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86"/>
    <w:bookmarkStart w:name="z97" w:id="87"/>
    <w:p>
      <w:pPr>
        <w:spacing w:after="0"/>
        <w:ind w:left="0"/>
        <w:jc w:val="both"/>
      </w:pPr>
      <w:r>
        <w:rPr>
          <w:rFonts w:ascii="Times New Roman"/>
          <w:b w:val="false"/>
          <w:i w:val="false"/>
          <w:color w:val="000000"/>
          <w:sz w:val="28"/>
        </w:rPr>
        <w:t xml:space="preserve">
      лица, указанные в абзаце четвертом подпункта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7"/>
    <w:bookmarkStart w:name="z98" w:id="88"/>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88"/>
    <w:bookmarkStart w:name="z99" w:id="89"/>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89"/>
    <w:bookmarkStart w:name="z100" w:id="90"/>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90"/>
    <w:bookmarkStart w:name="z101" w:id="91"/>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91"/>
    <w:bookmarkStart w:name="z102" w:id="92"/>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92"/>
    <w:bookmarkStart w:name="z103" w:id="93"/>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93"/>
    <w:bookmarkStart w:name="z104" w:id="94"/>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94"/>
    <w:bookmarkStart w:name="z105" w:id="95"/>
    <w:p>
      <w:pPr>
        <w:spacing w:after="0"/>
        <w:ind w:left="0"/>
        <w:jc w:val="both"/>
      </w:pPr>
      <w:r>
        <w:rPr>
          <w:rFonts w:ascii="Times New Roman"/>
          <w:b w:val="false"/>
          <w:i w:val="false"/>
          <w:color w:val="000000"/>
          <w:sz w:val="28"/>
        </w:rPr>
        <w:t>
      Социальная помощь назначается с месяца подачи заявления".</w:t>
      </w:r>
    </w:p>
    <w:bookmarkEnd w:id="95"/>
    <w:bookmarkStart w:name="z106" w:id="9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10 апреля 2024 года.</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Карабалыкского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