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59a8" w14:textId="db15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августа 2024 года № 20/118. Зарегистрировано в Департаменте юстиции области Ұлытау 8 августа 2024 года № 142-20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Жезказганского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Жезказган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Жезказган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6 (шесть)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Жезказган"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с нижеследующими нормами: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 составляет 18 квадратных метров на человека в многокомнатных квартирах, для проживающих в однокомнатных квартирах – общая площадь квартиры. Норма площади для одиноко проживающих в многокомнатных квартирах – 30 квадратных метров;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газа - 1 баллон (10 килограмм) в месяц на семью;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 с предъявлением счетов поставщиков услуг (квитанции, накладные, счета – фактуры) – не более 161 килограмма на отопление 1 квадратного метра площади (в расчете на отопительный сезон 6 месяцев), но не более 7 тонн угля на отопительный сезон;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применяются цены на уголь, сложившиеся в городе Жезказган за истекший квартал, по данным органов статистики;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потребление электроэнергии на семью по фактическим расходам, но не более: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киловатт в месяц в домах, оборудованных газовыми плитами;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месяц в домах, оборудованных электрическими плитами;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потребления холодной воды, канализации, мусороудаления устанавливаются органом, утверждающим тариф.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Жезказган на соответствующий финансовый год малообеспеченным семьям (гражданам).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20/118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Жезказганского городского маслихата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 размере и порядке оказания жилищной помощи населению города Жезказгана" от 24 мая 2012 года № 6/51 (зарегистрировано в Реестре государственной регистрации нормативных правовых актов под № 8-2-156).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17 августа 2012 года № 9/75 (зарегистрировано в Реестре государственной регистрации нормативных правовых актов под № 1929).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и дополнения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7 февраля 2013 года № 12/103 (зарегистрировано в Реестре государственной регистрации нормативных правовых актов под № 2204).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3 декабря 2013 года № 20/174 (зарегистрировано в Реестре государственной регистрации нормативных правовых актов под № 2476).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9 июля 2014 года № 25/219 (зарегистрировано в Реестре государственной регистрации нормативных правовых актов под № 2699).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и дополнений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24 августа 2018 года № 26/238 (зарегистрировано в Реестре государственной регистрации нормативных правовых актов под № 4920).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изменения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26 декабря 2018 года № 31/286 (зарегистрировано в Реестре государственной регистрации нормативных правовых актов под № 5111).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внесении изменений и дополнения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от 30 апреля 2020 года № 45/397 (зарегистрировано в Реестре государственной регистрации нормативных правовых актов под № 5822).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