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2a39" w14:textId="22b2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субсидирование развития производства приоритетных культур, в том числе многолетних насаждений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октября 2024 года № А-10/501. Зарегистрировано Департаментом юстиции Акмолинской области 28 октября 2024 года № 8846-03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приоритетных культур и нормы субсидий на субсидирование развития производства приоритетных культур, в том числе многолетних насаждений на 2024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приоритетных культур и норм субсидий, а также объема бюджетных средств на повышение урожайности и качества продукции растениеводства" от 29 сентября 2022 года № А-10/470 (зарегистрировано в Реестре государственной регистрации нормативных правовых актов под № 30075).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субсидирование развития производства приоритетных культур, в том числе многолетних насаждений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