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b845" w14:textId="946b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фиксированных тарифов и предельных аукционных цен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ноября 2024 года № 423. Зарегистрирован в Министерстве юстиции Республики Казахстан 28 ноября 2024 года № 35416.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поддержке использования возобновляемых источников энергии"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фиксированных тарифов и предельных аукционных цен.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 № 423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фиксированных тарифов и предельных аукционных цен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фиксированных тарифов и предельных аукционных цен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поддержке использования возобновляемых источников энергии" (далее – Закон) и устанавливают порядок определения фиксированных тарифов и предельных аукционных цен на электрическую энергию, производимую объектами по использованию возобновляемых источников энергии.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аукционная цена – цена на покупку электрической энергии, производимой объектом по использованию возобновляемых источников энергии, объектом по энергетической утилизации отходов, определенная по итогам аукционных торгов и не превышающая уровня соответствующей предельной аукционной цены единым закупщиком электрической энергии;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биогаз – метан, монооксид углерода и (или) водород, получаемые из биомассы в результате ее брожения или газификации;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расчетно-финансовый центр по поддержке возобновляемых источников энергии (далее – расчетно-финансовый центр) – юридическое лицо, определенное уполномоченным органом, являющееся стороной договоров купли-продажи электрической энергии, производимой объектами по использованию возобновляемых источников энергии и объектами по энергетической утилизации отходов, в соответствии с законодательством Республики Казахстан, действовавшим до даты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покупки электрической энергии расчетно-финансовым центром по поддержке возобновляемых источников энергии (далее – договор покупки) – договор купли-продажи электрической энергии, произведенной объектами по использованию возобновляемых источников энергии, заключаемый между расчетно-финансовым центром, выступающим в качестве покупателя, и энергопроизводящей организацией, выступающей в качестве продавца;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фотоэлектрические модули на основе казахстанского кремния (Kaz PV) – фотоэлектрические модули, изготовленные на предприятиях, расположенных в Республике Казахстан, с использованием кремния, произведенного на территории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фиксированный тариф – тариф на покупку расчетно-финансовым центром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электрической энергии, производимой объектами по использованию возобновляемых источников энергии;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центральный исполнительный орган, осуществляющий руководство и межотраслевую координацию в области поддержки использования возобновляемых источников энергии;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малая гидроэлектростанция – гидроэлектростанция с установками, расположенными в одном гидроузле, суммарной мощностью до десяти мегаватт (включительно);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предельная аукционная цена – максимальная величина аукционной цены на электрическую энергию;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крупная гидроэлектростанция – гидроэлектростанция с установками, расположенными в одном гидроузле, суммарной мощностью свыше десяти мегаватт.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Понятие, предусмотренное подпунктом 5) настоящего пункта, распространяется в отношении договоров покупки, заключенных расчетно-финансовым центром с энергопроизводящими организациями, использующими возобновляемые источники энергии по фиксированному тарифу для проектов солнечных электрических станций, использующих фотоэлектрические модули на основе казахстанского кремния (Kaz PV), для преобразования энергии солнечного излучения,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2014 года № 644 "Об утверждении фиксированного тарифа для проектов солнечных электрических станций, использующих фотоэлектрические модули на основе казахстанского кремния (Kaz PV), для преобразования энергии солнечного излучения".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действующим законодательством Республики Казахстан в области поддержки возобновляемых источников энергии.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настоящих Правил, регулирующие порядок применения фиксированных тарифов и аукционных цен для покупки электрической энергии, производимой объектами по использованию возобновляемых источников энергии, не распространяются на: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организации, имеющие объекты по использованию возобновляемых источников энергии, срок эксплуатации которых превысил срок окупаемости, установленный в утвержденном и согласованном с уполномоченным органом или местным исполнительным органом технико-экономическом обосновании;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гидроэлектростанции с установками, расположенными в одном гидроузле, суммарной мощностью свыше тридцати пяти мегаватт и (или) водохранилищами, обеспечивающими более чем суточный срок регулирования, за исключением введенных в эксплуатацию после 1 января 2016 года.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Фиксированные тарифы утверждаются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для каждого из следующих видов возобновляемых источников энергии: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энергии солнечного излучения;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энергии ветра;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гидродинамической энергии воды (малые и крупные гидроэлектростанции);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энергии, полученной при использовании биогаза.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Фиксированные тарифы, предусмотренные договорами купли-продажи расчетно-финансового центра с энергопроизводящими организациями, использующими возобновляемые источники энергии, энергетическую утилизацию отходов, применяются до прекращения действия договоров, заключенных до введения в действие Закона, но не более чем пятнадцать лет с даты заключения договоров.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Акт уполномоченного органа о корректировке утвержденных фиксированных тарифов не распространяется на договоры покупки, заключенные расчетно-финансовым центром до момента его введения в действие.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Предельные аукционные цены утверждаются для каждого из следующих видов возобновляемых источников энергии: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энергии солнечного излучения;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энергии ветра;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гидродинамической энергии воды (малые и крупные гидроэлектростанции);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энергии, полученной при использовании биогаза.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аукционные цены утверждаются в тенге.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фиксированных тарифов и предельных аукционных цен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определении фиксированных тарифов учитываются следующие факторы: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выработки электрической энергии в Республике Казахстан и ее приобретения из-за пределов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потребления электрической энергии в Республике Казахстан и ее реализации за пределы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Формирование показателей выработки электрической энергии в Республике Казахстан объектами по использованию возобновляемых источников энергии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февраля 2015 года № 74 "Об утверждении Правил осуществления мониторинга за использованием возобновляемых источников энергии и реализацией планируемых объектов по использованию возобновляемых источников энергии" (зарегистрирован в Реестре государственной регистрации нормативных правовых актов № 10455).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определении фиксированных тарифов принимаются во внимание целевые показатели предусмотренные документами Системы государственного планирования Республики Казахстан и международные обязательства Республики Казахстан по снижению выбросов парниковых газов.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формирования фиксированных тарифов проводится сравнительный анализ тарифов на электрическую энергию, произведенную за счет использования возобновляемых источников энергии, действующих в других государствах мира,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учетом следующих параметров: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механизма поддержки возобновляемых источников энергии, идентичного или соответствующего по содержанию с применяемой в Республике Казахстан схемой льготных тарифов на поставку электрической энергии, производимой объектами по использованию возобновляемых источников энергии;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индикаторов развития сектора возобновляемых источников энергии до 2050 года;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показателя доли возобновляемых источников энергии в общем объеме производства электроэнергии (по итогам предыдущего года) выше, чем в Республике Казахстан;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снижения стоимости технологий.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Фиксированные тарифы утверждаются в тенге.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Предельные аукционные цены определяются на уровне фиксированных тарифов, утвержденных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фиксированных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предельных аукционных цен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 для проведения сравнительного анализа тарифов на электрическую энергию, произведенную за счет использования возобновляемых источников энергии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Ветровые электростанции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(Гавайи, Нью-Йорк, Вермонт)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Фотоэлектрические преобразователи солнечной энергии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(Гавайи, Калифорния, Нью-Йорк, Орегон, Вермонт)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гидроэлектростанции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(Гавайи, Нью-Йорк)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Биогазовые установки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(Нью-Йорк)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