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7cc36" w14:textId="b97c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нормативные правовые акты Республики Казахстан по вопросам регулирования и развития страховой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21 октября 2024 года № 83. Зарегистрировано в Министерстве юстиции Республики Казахстан 28 октября 2024 года № 35296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страхового рынка, в которые вносятся изменения и дополнение,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(далее – Перечень).</w:t>
      </w:r>
    </w:p>
    <w:bookmarkEnd w:id="1"/>
    <w:bookmarkStart w:name="z7" w:id="2"/>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2"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абзаца тринадцатого пункта 1 Перечня, который вводится в действие с 1 января 2025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21 октября 2024 года № 83</w:t>
            </w:r>
          </w:p>
        </w:tc>
      </w:tr>
    </w:tbl>
    <w:bookmarkStart w:name="z18" w:id="11"/>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и развития страховой деятельности, в которые вносятся изменения и дополнение</w:t>
      </w:r>
    </w:p>
    <w:bookmarkEnd w:id="11"/>
    <w:bookmarkStart w:name="z19" w:id="1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мая 2015 года № 92 "Об утверждении Правил применения поправочного коэффициента" (зарегистрировано в Реестре государственной регистрации нормативных правовых актов под № 11651) следующие изменения: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17-1 Закона Республики Казахстан "Об обязательном страховании работника от несчастных случаев при исполнении им трудовых (служебных) обязанностей"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поправочного коэффициента, утвержденных указанным постановлением: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xml:space="preserve">
      "1. Настоящие Правила применения поправочного коэффициента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(далее – Закон) и устанавливают порядок применения поправочного коэффициента при расчете страховой премии, подлежащей уплате по договору обязательного страхования работника от несчастных случаев при исполнении им трудовых (служебных) обязанностей (далее – договор обязательного страхования).</w:t>
      </w:r>
    </w:p>
    <w:bookmarkEnd w:id="15"/>
    <w:bookmarkStart w:name="z25" w:id="16"/>
    <w:p>
      <w:pPr>
        <w:spacing w:after="0"/>
        <w:ind w:left="0"/>
        <w:jc w:val="both"/>
      </w:pPr>
      <w:r>
        <w:rPr>
          <w:rFonts w:ascii="Times New Roman"/>
          <w:b w:val="false"/>
          <w:i w:val="false"/>
          <w:color w:val="000000"/>
          <w:sz w:val="28"/>
        </w:rPr>
        <w:t>
      Требования Правил, применяемые по отношению к страховой организации-резиденту Республики Казахстан, распространяются на филиалы страховых организаций-нерезидентов Республики Казахстан, открытые на территории Республики Казахстан.";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7" w:id="17"/>
    <w:p>
      <w:pPr>
        <w:spacing w:after="0"/>
        <w:ind w:left="0"/>
        <w:jc w:val="both"/>
      </w:pPr>
      <w:r>
        <w:rPr>
          <w:rFonts w:ascii="Times New Roman"/>
          <w:b w:val="false"/>
          <w:i w:val="false"/>
          <w:color w:val="000000"/>
          <w:sz w:val="28"/>
        </w:rPr>
        <w:t xml:space="preserve">
      "3. Поправочный коэффициент определяется на основании среднегодового количества пострадавших работников в течение последних 3 (трех) лет, предшествующих дате заключения договора обязательного страхования, и соответствующего общего количества работников страхователя на дату заключения договора обязательного страхования. Значения поправочных коэффициентов установлены </w:t>
      </w:r>
      <w:r>
        <w:rPr>
          <w:rFonts w:ascii="Times New Roman"/>
          <w:b w:val="false"/>
          <w:i w:val="false"/>
          <w:color w:val="000000"/>
          <w:sz w:val="28"/>
        </w:rPr>
        <w:t>пунктом 2</w:t>
      </w:r>
      <w:r>
        <w:rPr>
          <w:rFonts w:ascii="Times New Roman"/>
          <w:b w:val="false"/>
          <w:i w:val="false"/>
          <w:color w:val="000000"/>
          <w:sz w:val="28"/>
        </w:rPr>
        <w:t xml:space="preserve"> статьи 17-1 Закона.";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9" w:id="18"/>
    <w:p>
      <w:pPr>
        <w:spacing w:after="0"/>
        <w:ind w:left="0"/>
        <w:jc w:val="both"/>
      </w:pPr>
      <w:r>
        <w:rPr>
          <w:rFonts w:ascii="Times New Roman"/>
          <w:b w:val="false"/>
          <w:i w:val="false"/>
          <w:color w:val="000000"/>
          <w:sz w:val="28"/>
        </w:rPr>
        <w:t xml:space="preserve">
      "6. Для расчета количества пострадавших работников учитывается количество страховых случаев, произошедших по вине страхователя, оформленных актом о несчастном случае, связанном с трудовой деятельностью,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190 Трудового кодекса Республики Казахстан, приведших к установлению работнику степени утраты профессиональной трудоспособности от 30 до 100 процентов включительно либо к его смерти.";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31" w:id="19"/>
    <w:p>
      <w:pPr>
        <w:spacing w:after="0"/>
        <w:ind w:left="0"/>
        <w:jc w:val="both"/>
      </w:pPr>
      <w:r>
        <w:rPr>
          <w:rFonts w:ascii="Times New Roman"/>
          <w:b w:val="false"/>
          <w:i w:val="false"/>
          <w:color w:val="000000"/>
          <w:sz w:val="28"/>
        </w:rPr>
        <w:t>
      "8. Поправочный коэффициент применяется страховой организацией исходя из страхового отчета, содержащего информацию о наличии страхового случая (страховых случаев), произошедшего (произошедших) по вине страхователя, полученного страховщиком из базы данных по страхованию.</w:t>
      </w:r>
    </w:p>
    <w:bookmarkEnd w:id="19"/>
    <w:bookmarkStart w:name="z32" w:id="20"/>
    <w:p>
      <w:pPr>
        <w:spacing w:after="0"/>
        <w:ind w:left="0"/>
        <w:jc w:val="both"/>
      </w:pPr>
      <w:r>
        <w:rPr>
          <w:rFonts w:ascii="Times New Roman"/>
          <w:b w:val="false"/>
          <w:i w:val="false"/>
          <w:color w:val="000000"/>
          <w:sz w:val="28"/>
        </w:rPr>
        <w:t>
      9. Для расчета среднегодового количества пострадавших работников используются последние три завершенных финансовых года, предшествующих дате заключения договора обязательного страхования.</w:t>
      </w:r>
    </w:p>
    <w:bookmarkEnd w:id="20"/>
    <w:bookmarkStart w:name="z33" w:id="21"/>
    <w:p>
      <w:pPr>
        <w:spacing w:after="0"/>
        <w:ind w:left="0"/>
        <w:jc w:val="both"/>
      </w:pPr>
      <w:r>
        <w:rPr>
          <w:rFonts w:ascii="Times New Roman"/>
          <w:b w:val="false"/>
          <w:i w:val="false"/>
          <w:color w:val="000000"/>
          <w:sz w:val="28"/>
        </w:rPr>
        <w:t xml:space="preserve">
      10. В случае отсутствия страховых случаев в течение последних 3 (трех) лет, предшествующих дате заключения договора обязательного страхования, поправочные коэффициенты определяются страховщиком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17-1 Закона.".</w:t>
      </w:r>
    </w:p>
    <w:bookmarkEnd w:id="21"/>
    <w:bookmarkStart w:name="z34" w:id="2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 следующие изменения:</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6" w:id="2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46,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48 Закона Республики Казахстан "О страховой деятельности"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3"/>
    <w:bookmarkStart w:name="z37"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страховой (перестраховочной) организации и страховой группы, и иных обязательных к соблюдению норм, и лимитов, утвержденных указанным постановлением: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39" w:id="25"/>
    <w:p>
      <w:pPr>
        <w:spacing w:after="0"/>
        <w:ind w:left="0"/>
        <w:jc w:val="both"/>
      </w:pPr>
      <w:r>
        <w:rPr>
          <w:rFonts w:ascii="Times New Roman"/>
          <w:b w:val="false"/>
          <w:i w:val="false"/>
          <w:color w:val="000000"/>
          <w:sz w:val="28"/>
        </w:rPr>
        <w:t>
      "12. Порядок расчета минимального размера маржи платежеспособности с использованием "метода премий":</w:t>
      </w:r>
    </w:p>
    <w:bookmarkEnd w:id="25"/>
    <w:bookmarkStart w:name="z40" w:id="26"/>
    <w:p>
      <w:pPr>
        <w:spacing w:after="0"/>
        <w:ind w:left="0"/>
        <w:jc w:val="both"/>
      </w:pPr>
      <w:r>
        <w:rPr>
          <w:rFonts w:ascii="Times New Roman"/>
          <w:b w:val="false"/>
          <w:i w:val="false"/>
          <w:color w:val="000000"/>
          <w:sz w:val="28"/>
        </w:rPr>
        <w:t>
      1) расчет осуществляется исходя из суммы совокупных страховых премий, принятых по договорам страхования (перестрахования) за предыдущий финансовый год, или совокупных заработанных страховых премий за предыдущий финансовый год, из которых для расчета принимается наибольшая величина;</w:t>
      </w:r>
    </w:p>
    <w:bookmarkEnd w:id="26"/>
    <w:bookmarkStart w:name="z41" w:id="27"/>
    <w:p>
      <w:pPr>
        <w:spacing w:after="0"/>
        <w:ind w:left="0"/>
        <w:jc w:val="both"/>
      </w:pPr>
      <w:r>
        <w:rPr>
          <w:rFonts w:ascii="Times New Roman"/>
          <w:b w:val="false"/>
          <w:i w:val="false"/>
          <w:color w:val="000000"/>
          <w:sz w:val="28"/>
        </w:rPr>
        <w:t>
      2) сумма совокупных страховых премий (совокупных заработанных премий), принятых страховой (перестраховочной) организацией по классу "обязательное страхование гражданско-правовой ответственности владельцев транспортных средств", подлежит увеличению на 50 (пятьдесят) процентов;</w:t>
      </w:r>
    </w:p>
    <w:bookmarkEnd w:id="27"/>
    <w:bookmarkStart w:name="z42" w:id="28"/>
    <w:p>
      <w:pPr>
        <w:spacing w:after="0"/>
        <w:ind w:left="0"/>
        <w:jc w:val="both"/>
      </w:pPr>
      <w:r>
        <w:rPr>
          <w:rFonts w:ascii="Times New Roman"/>
          <w:b w:val="false"/>
          <w:i w:val="false"/>
          <w:color w:val="000000"/>
          <w:sz w:val="28"/>
        </w:rPr>
        <w:t>
      3) сумма совокупных страховых премий (совокупных заработанных премий), рассчитанных в соответствии с подпунктами 1), 2) настоящего пункта, уменьшается на сумму расходов по выплате комиссионного вознаграждения по страховой деятельности, а также на сумму корпоративного подоходного налога;</w:t>
      </w:r>
    </w:p>
    <w:bookmarkEnd w:id="28"/>
    <w:bookmarkStart w:name="z43" w:id="29"/>
    <w:p>
      <w:pPr>
        <w:spacing w:after="0"/>
        <w:ind w:left="0"/>
        <w:jc w:val="both"/>
      </w:pPr>
      <w:r>
        <w:rPr>
          <w:rFonts w:ascii="Times New Roman"/>
          <w:b w:val="false"/>
          <w:i w:val="false"/>
          <w:color w:val="000000"/>
          <w:sz w:val="28"/>
        </w:rPr>
        <w:t>
      4) сумма страховых премий, рассчитанных в соответствии с подпунктами 1), 2) и 3) настоящего пункта в размере, не превышающем 3 500 000 000 (три миллиарда пятьсот миллионов) тенге, умножается на 18 (восемнадцать) процентов, оставшаяся сумма превышения умножается на 16 (шестнадцать) процентов.</w:t>
      </w:r>
    </w:p>
    <w:bookmarkEnd w:id="29"/>
    <w:bookmarkStart w:name="z44" w:id="30"/>
    <w:p>
      <w:pPr>
        <w:spacing w:after="0"/>
        <w:ind w:left="0"/>
        <w:jc w:val="both"/>
      </w:pPr>
      <w:r>
        <w:rPr>
          <w:rFonts w:ascii="Times New Roman"/>
          <w:b w:val="false"/>
          <w:i w:val="false"/>
          <w:color w:val="000000"/>
          <w:sz w:val="28"/>
        </w:rPr>
        <w:t>
      Полученные результаты суммируются и корректируются на поправочный коэффициент, рассчитанный в соответствии с подпунктом 5) настоящего пункта;</w:t>
      </w:r>
    </w:p>
    <w:bookmarkEnd w:id="30"/>
    <w:bookmarkStart w:name="z45" w:id="31"/>
    <w:p>
      <w:pPr>
        <w:spacing w:after="0"/>
        <w:ind w:left="0"/>
        <w:jc w:val="both"/>
      </w:pPr>
      <w:r>
        <w:rPr>
          <w:rFonts w:ascii="Times New Roman"/>
          <w:b w:val="false"/>
          <w:i w:val="false"/>
          <w:color w:val="000000"/>
          <w:sz w:val="28"/>
        </w:rPr>
        <w:t>
      5) поправочный коэффициент рассчитывается как отношение суммы совокупных страховых выплат (за вычетом доли перестраховщика в страховых выплатах), начисленных за предыдущие 3 (три) финансовых года, к сумме совокупных страховых выплат, начисленных за предыдущие 3 (три) финансовых года. Если величина полученного в результате расчета поправочного коэффициента меньше 0,5 (ноль целых пять десятых), то для расчета принимается 0,5 (ноль целых пять десятых).</w:t>
      </w:r>
    </w:p>
    <w:bookmarkEnd w:id="31"/>
    <w:bookmarkStart w:name="z46" w:id="32"/>
    <w:p>
      <w:pPr>
        <w:spacing w:after="0"/>
        <w:ind w:left="0"/>
        <w:jc w:val="both"/>
      </w:pPr>
      <w:r>
        <w:rPr>
          <w:rFonts w:ascii="Times New Roman"/>
          <w:b w:val="false"/>
          <w:i w:val="false"/>
          <w:color w:val="000000"/>
          <w:sz w:val="28"/>
        </w:rPr>
        <w:t>
      Поправочный коэффициент не применяется при расчете минимального размера маржи платежеспособности, если за предыдущие 3 (три) финансовых года страховой (перестраховочной) организацией не осуществлялись страховые выплаты.</w:t>
      </w:r>
    </w:p>
    <w:bookmarkEnd w:id="32"/>
    <w:bookmarkStart w:name="z47" w:id="33"/>
    <w:p>
      <w:pPr>
        <w:spacing w:after="0"/>
        <w:ind w:left="0"/>
        <w:jc w:val="both"/>
      </w:pPr>
      <w:r>
        <w:rPr>
          <w:rFonts w:ascii="Times New Roman"/>
          <w:b w:val="false"/>
          <w:i w:val="false"/>
          <w:color w:val="000000"/>
          <w:sz w:val="28"/>
        </w:rPr>
        <w:t>
      13. Порядок расчета минимального размера маржи платежеспособности с использованием "метода выплат":</w:t>
      </w:r>
    </w:p>
    <w:bookmarkEnd w:id="33"/>
    <w:bookmarkStart w:name="z48" w:id="34"/>
    <w:p>
      <w:pPr>
        <w:spacing w:after="0"/>
        <w:ind w:left="0"/>
        <w:jc w:val="both"/>
      </w:pPr>
      <w:r>
        <w:rPr>
          <w:rFonts w:ascii="Times New Roman"/>
          <w:b w:val="false"/>
          <w:i w:val="false"/>
          <w:color w:val="000000"/>
          <w:sz w:val="28"/>
        </w:rPr>
        <w:t>
      1) для расчета используется сумма совокупных страховых выплат, начисленных за предыдущие 3 (три) финансовых года.</w:t>
      </w:r>
    </w:p>
    <w:bookmarkEnd w:id="34"/>
    <w:bookmarkStart w:name="z49" w:id="35"/>
    <w:p>
      <w:pPr>
        <w:spacing w:after="0"/>
        <w:ind w:left="0"/>
        <w:jc w:val="both"/>
      </w:pPr>
      <w:r>
        <w:rPr>
          <w:rFonts w:ascii="Times New Roman"/>
          <w:b w:val="false"/>
          <w:i w:val="false"/>
          <w:color w:val="000000"/>
          <w:sz w:val="28"/>
        </w:rPr>
        <w:t xml:space="preserve">
      Страховой организацией, занимающейся исключительно страхованием рисков, указанных в подпунктах 13) и 14) пункта 3 </w:t>
      </w:r>
      <w:r>
        <w:rPr>
          <w:rFonts w:ascii="Times New Roman"/>
          <w:b w:val="false"/>
          <w:i w:val="false"/>
          <w:color w:val="000000"/>
          <w:sz w:val="28"/>
        </w:rPr>
        <w:t>статьи 6</w:t>
      </w:r>
      <w:r>
        <w:rPr>
          <w:rFonts w:ascii="Times New Roman"/>
          <w:b w:val="false"/>
          <w:i w:val="false"/>
          <w:color w:val="000000"/>
          <w:sz w:val="28"/>
        </w:rPr>
        <w:t xml:space="preserve"> Закона, для расчета используется сумма совокупных страховых выплат за предыдущие 7 (семь) финансовых лет;</w:t>
      </w:r>
    </w:p>
    <w:bookmarkEnd w:id="35"/>
    <w:bookmarkStart w:name="z50" w:id="36"/>
    <w:p>
      <w:pPr>
        <w:spacing w:after="0"/>
        <w:ind w:left="0"/>
        <w:jc w:val="both"/>
      </w:pPr>
      <w:r>
        <w:rPr>
          <w:rFonts w:ascii="Times New Roman"/>
          <w:b w:val="false"/>
          <w:i w:val="false"/>
          <w:color w:val="000000"/>
          <w:sz w:val="28"/>
        </w:rPr>
        <w:t>
      2) сумма совокупных страховых выплат, осуществленных страховой (перестраховочной) организацией по классу "обязательное страхование гражданско-правовой ответственности владельцев транспортных средств", подлежит увеличению на 50 (пятьдесят) процентов;</w:t>
      </w:r>
    </w:p>
    <w:bookmarkEnd w:id="36"/>
    <w:bookmarkStart w:name="z51" w:id="37"/>
    <w:p>
      <w:pPr>
        <w:spacing w:after="0"/>
        <w:ind w:left="0"/>
        <w:jc w:val="both"/>
      </w:pPr>
      <w:r>
        <w:rPr>
          <w:rFonts w:ascii="Times New Roman"/>
          <w:b w:val="false"/>
          <w:i w:val="false"/>
          <w:color w:val="000000"/>
          <w:sz w:val="28"/>
        </w:rPr>
        <w:t>
      3) сумма совокупных страховых выплат увеличивается на сумму резерва заявленных, но неурегулированных убытков на конец предыдущего финансового года и уменьшается:</w:t>
      </w:r>
    </w:p>
    <w:bookmarkEnd w:id="37"/>
    <w:bookmarkStart w:name="z52" w:id="38"/>
    <w:p>
      <w:pPr>
        <w:spacing w:after="0"/>
        <w:ind w:left="0"/>
        <w:jc w:val="both"/>
      </w:pPr>
      <w:r>
        <w:rPr>
          <w:rFonts w:ascii="Times New Roman"/>
          <w:b w:val="false"/>
          <w:i w:val="false"/>
          <w:color w:val="000000"/>
          <w:sz w:val="28"/>
        </w:rPr>
        <w:t>
      на сумму резерва заявленных, но неурегулированных убытков на конец финансового года, за 3 (три) года, предшествующих отчетному финансовому году;</w:t>
      </w:r>
    </w:p>
    <w:bookmarkEnd w:id="38"/>
    <w:bookmarkStart w:name="z53" w:id="39"/>
    <w:p>
      <w:pPr>
        <w:spacing w:after="0"/>
        <w:ind w:left="0"/>
        <w:jc w:val="both"/>
      </w:pPr>
      <w:r>
        <w:rPr>
          <w:rFonts w:ascii="Times New Roman"/>
          <w:b w:val="false"/>
          <w:i w:val="false"/>
          <w:color w:val="000000"/>
          <w:sz w:val="28"/>
        </w:rPr>
        <w:t>
      для страховых организаций, указанных в абзаце втором подпункта 1) настоящего пункта, – на сумму резерва заявленных, но неурегулированных убытков на конец финансового года, за 7 (семь) лет, предшествующих отчетному финансовому году;</w:t>
      </w:r>
    </w:p>
    <w:bookmarkEnd w:id="39"/>
    <w:bookmarkStart w:name="z54" w:id="40"/>
    <w:p>
      <w:pPr>
        <w:spacing w:after="0"/>
        <w:ind w:left="0"/>
        <w:jc w:val="both"/>
      </w:pPr>
      <w:r>
        <w:rPr>
          <w:rFonts w:ascii="Times New Roman"/>
          <w:b w:val="false"/>
          <w:i w:val="false"/>
          <w:color w:val="000000"/>
          <w:sz w:val="28"/>
        </w:rPr>
        <w:t>
      4) для расчета минимального размера маржи платежеспособности страховой (перестраховочной) организации используется:</w:t>
      </w:r>
    </w:p>
    <w:bookmarkEnd w:id="40"/>
    <w:bookmarkStart w:name="z55" w:id="41"/>
    <w:p>
      <w:pPr>
        <w:spacing w:after="0"/>
        <w:ind w:left="0"/>
        <w:jc w:val="both"/>
      </w:pPr>
      <w:r>
        <w:rPr>
          <w:rFonts w:ascii="Times New Roman"/>
          <w:b w:val="false"/>
          <w:i w:val="false"/>
          <w:color w:val="000000"/>
          <w:sz w:val="28"/>
        </w:rPr>
        <w:t>
      одна третья часть суммы, полученной согласно абзацу второму подпункта 3) настоящего пункта;</w:t>
      </w:r>
    </w:p>
    <w:bookmarkEnd w:id="41"/>
    <w:bookmarkStart w:name="z56" w:id="42"/>
    <w:p>
      <w:pPr>
        <w:spacing w:after="0"/>
        <w:ind w:left="0"/>
        <w:jc w:val="both"/>
      </w:pPr>
      <w:r>
        <w:rPr>
          <w:rFonts w:ascii="Times New Roman"/>
          <w:b w:val="false"/>
          <w:i w:val="false"/>
          <w:color w:val="000000"/>
          <w:sz w:val="28"/>
        </w:rPr>
        <w:t>
      для страховых организаций, указанных в абзаце втором подпункта 1) настоящего пункта, – одна седьмая часть суммы, полученной согласно абзацу третьему подпункта 3) настоящего пункта;</w:t>
      </w:r>
    </w:p>
    <w:bookmarkEnd w:id="42"/>
    <w:bookmarkStart w:name="z57" w:id="43"/>
    <w:p>
      <w:pPr>
        <w:spacing w:after="0"/>
        <w:ind w:left="0"/>
        <w:jc w:val="both"/>
      </w:pPr>
      <w:r>
        <w:rPr>
          <w:rFonts w:ascii="Times New Roman"/>
          <w:b w:val="false"/>
          <w:i w:val="false"/>
          <w:color w:val="000000"/>
          <w:sz w:val="28"/>
        </w:rPr>
        <w:t>
      5) сумма страховых выплат, рассчитанных в соответствии с подпунктами 1), 2), 3) и 4) настоящего пункта в размере, не превышающем 2 500 000 000 (два миллиарда пятьсот миллионов) тенге, умножается на 26 (двадцать шесть) процентов, оставшаяся сумма превышения умножается на 23 (двадцать три) процента.</w:t>
      </w:r>
    </w:p>
    <w:bookmarkEnd w:id="43"/>
    <w:bookmarkStart w:name="z58" w:id="44"/>
    <w:p>
      <w:pPr>
        <w:spacing w:after="0"/>
        <w:ind w:left="0"/>
        <w:jc w:val="both"/>
      </w:pPr>
      <w:r>
        <w:rPr>
          <w:rFonts w:ascii="Times New Roman"/>
          <w:b w:val="false"/>
          <w:i w:val="false"/>
          <w:color w:val="000000"/>
          <w:sz w:val="28"/>
        </w:rPr>
        <w:t>
      Полученные результаты суммируются и корректируются на поправочный коэффициент, рассчитанный в соответствии с подпунктом 5) пункта 12 Нормативов.</w:t>
      </w:r>
    </w:p>
    <w:bookmarkEnd w:id="44"/>
    <w:bookmarkStart w:name="z59" w:id="45"/>
    <w:p>
      <w:pPr>
        <w:spacing w:after="0"/>
        <w:ind w:left="0"/>
        <w:jc w:val="both"/>
      </w:pPr>
      <w:r>
        <w:rPr>
          <w:rFonts w:ascii="Times New Roman"/>
          <w:b w:val="false"/>
          <w:i w:val="false"/>
          <w:color w:val="000000"/>
          <w:sz w:val="28"/>
        </w:rPr>
        <w:t>
      Если страховая (перестраховочная) организация не осуществляла страховые выплаты в течение срока, указанного в подпункте 1) настоящего пункта, то расчет минимального размера маржи платежеспособности осуществляется без использования "метода выплат".;</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61" w:id="46"/>
    <w:p>
      <w:pPr>
        <w:spacing w:after="0"/>
        <w:ind w:left="0"/>
        <w:jc w:val="both"/>
      </w:pPr>
      <w:r>
        <w:rPr>
          <w:rFonts w:ascii="Times New Roman"/>
          <w:b w:val="false"/>
          <w:i w:val="false"/>
          <w:color w:val="000000"/>
          <w:sz w:val="28"/>
        </w:rPr>
        <w:t>
      "17. Расчет минимального размера маржи платежеспособности для страховой организации, осуществляющей деятельность в отрасли "страхование жизни", осуществляется раздельно по:</w:t>
      </w:r>
    </w:p>
    <w:bookmarkEnd w:id="46"/>
    <w:bookmarkStart w:name="z62" w:id="47"/>
    <w:p>
      <w:pPr>
        <w:spacing w:after="0"/>
        <w:ind w:left="0"/>
        <w:jc w:val="both"/>
      </w:pPr>
      <w:r>
        <w:rPr>
          <w:rFonts w:ascii="Times New Roman"/>
          <w:b w:val="false"/>
          <w:i w:val="false"/>
          <w:color w:val="000000"/>
          <w:sz w:val="28"/>
        </w:rPr>
        <w:t>
      1) по классам "страхование жизни", "страхование жизни в рамках государственной образовательной накопительной системы", "пенсионное аннуитетное страхование", "аннуитетное страхование", а также по договорам аннуитетного страхования и предпенсионного аннуитетного страхования, заключенным в рамках класса "обязательное страхование работника от несчастных случаев при исполнении им трудовых (служебных) обязанностей";</w:t>
      </w:r>
    </w:p>
    <w:bookmarkEnd w:id="47"/>
    <w:bookmarkStart w:name="z63" w:id="48"/>
    <w:p>
      <w:pPr>
        <w:spacing w:after="0"/>
        <w:ind w:left="0"/>
        <w:jc w:val="both"/>
      </w:pPr>
      <w:r>
        <w:rPr>
          <w:rFonts w:ascii="Times New Roman"/>
          <w:b w:val="false"/>
          <w:i w:val="false"/>
          <w:color w:val="000000"/>
          <w:sz w:val="28"/>
        </w:rPr>
        <w:t>
      2) по классам "страхование от несчастных случаев", "страхование на случай болезни", "обязательное страхование туриста" и "обязательное страхование работника от несчастных случаев при исполнении им трудовых (служебных) обязанностей".</w:t>
      </w:r>
    </w:p>
    <w:bookmarkEnd w:id="48"/>
    <w:bookmarkStart w:name="z64" w:id="49"/>
    <w:p>
      <w:pPr>
        <w:spacing w:after="0"/>
        <w:ind w:left="0"/>
        <w:jc w:val="both"/>
      </w:pPr>
      <w:r>
        <w:rPr>
          <w:rFonts w:ascii="Times New Roman"/>
          <w:b w:val="false"/>
          <w:i w:val="false"/>
          <w:color w:val="000000"/>
          <w:sz w:val="28"/>
        </w:rPr>
        <w:t>
      Для расчета минимального размера маржи платежеспособности страховой организации принимаются суммы, рассчитанные в соответствии с пунктами 18 и 23 Нормативов.</w:t>
      </w:r>
    </w:p>
    <w:bookmarkEnd w:id="49"/>
    <w:bookmarkStart w:name="z65" w:id="50"/>
    <w:p>
      <w:pPr>
        <w:spacing w:after="0"/>
        <w:ind w:left="0"/>
        <w:jc w:val="both"/>
      </w:pPr>
      <w:r>
        <w:rPr>
          <w:rFonts w:ascii="Times New Roman"/>
          <w:b w:val="false"/>
          <w:i w:val="false"/>
          <w:color w:val="000000"/>
          <w:sz w:val="28"/>
        </w:rPr>
        <w:t>
      18. Расчет минимального размера маржи платежеспособности страховой (перестраховочной) организации по классам "страхование жизни", "страхование жизни в рамках государственной образовательной накопительной системы", "пенсионное аннуитетное страхование", "аннуитетное страхование", а также по договорам аннуитетного страхования и предпенсионного аннуитетного страхования, заключенным в рамках класса "обязательное страхование работника от несчастных случаев при исполнении им трудовых (служебных) обязанностей", представляет собой величину, равную сумме значений, рассчитанных в соответствии с пунктами 19 и 21 Нормативов.";</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67" w:id="51"/>
    <w:p>
      <w:pPr>
        <w:spacing w:after="0"/>
        <w:ind w:left="0"/>
        <w:jc w:val="both"/>
      </w:pPr>
      <w:r>
        <w:rPr>
          <w:rFonts w:ascii="Times New Roman"/>
          <w:b w:val="false"/>
          <w:i w:val="false"/>
          <w:color w:val="000000"/>
          <w:sz w:val="28"/>
        </w:rPr>
        <w:t>
      "21. Минимальный размер маржи платежеспособности по остальным договорам страхования по классам "страхование жизни", "страхование жизни в рамках государственной образовательной накопительной системы", "аннуитетное страхование", а также по договорам аннуитетного страхования и предпенсионного аннуитетного страхования, заключенным в рамках класса "обязательное страхование работника от несчастных случаев при исполнении им трудовых (служебных) обязанностей", равен произведению 4 (четырех) процентов от суммы рассчитанных страховых резервов и поправочного коэффициента, рассчитанного как отношение суммы сформированных страховых резервов за вычетом доли перестраховщика в страховых резервах на конец предыдущего финансового года к общей сумме сформированных страховых резервов на конец предыдущего финансового года. Если величина полученного в результате расчета поправочного коэффициента меньше 0,85 (ноль целых восемьдесят пять сотых), то для расчета принимается 0,85 (ноль целых восемьдесят пять сотых), за исключением договоров пенсионного аннуитета.</w:t>
      </w:r>
    </w:p>
    <w:bookmarkEnd w:id="51"/>
    <w:bookmarkStart w:name="z68" w:id="52"/>
    <w:p>
      <w:pPr>
        <w:spacing w:after="0"/>
        <w:ind w:left="0"/>
        <w:jc w:val="both"/>
      </w:pPr>
      <w:r>
        <w:rPr>
          <w:rFonts w:ascii="Times New Roman"/>
          <w:b w:val="false"/>
          <w:i w:val="false"/>
          <w:color w:val="000000"/>
          <w:sz w:val="28"/>
        </w:rPr>
        <w:t>
      Минимальный размер маржи платежеспособности по договорам пенсионного аннуитета, заключенным:</w:t>
      </w:r>
    </w:p>
    <w:bookmarkEnd w:id="52"/>
    <w:bookmarkStart w:name="z69" w:id="53"/>
    <w:p>
      <w:pPr>
        <w:spacing w:after="0"/>
        <w:ind w:left="0"/>
        <w:jc w:val="both"/>
      </w:pPr>
      <w:r>
        <w:rPr>
          <w:rFonts w:ascii="Times New Roman"/>
          <w:b w:val="false"/>
          <w:i w:val="false"/>
          <w:color w:val="000000"/>
          <w:sz w:val="28"/>
        </w:rPr>
        <w:t>
      1) до 1 января 2023 года, равен произведению 6 (шести) процентов от суммы рассчитанных страховых резервов и поправочного коэффициента, рассчитанного как отношение суммы сформированных страховых резервов за вычетом доли перестраховщика в страховых резервах на конец предыдущего финансового года к общей сумме сформированных страховых резервов на конец предыдущего финансового года. Если величина полученного в результате расчета поправочного коэффициента меньше 0,85 (ноль целых восемьдесят пять сотых), то для расчета принимается 0,85 (ноль целых восемьдесят пять сотых);</w:t>
      </w:r>
    </w:p>
    <w:bookmarkEnd w:id="53"/>
    <w:bookmarkStart w:name="z70" w:id="54"/>
    <w:p>
      <w:pPr>
        <w:spacing w:after="0"/>
        <w:ind w:left="0"/>
        <w:jc w:val="both"/>
      </w:pPr>
      <w:r>
        <w:rPr>
          <w:rFonts w:ascii="Times New Roman"/>
          <w:b w:val="false"/>
          <w:i w:val="false"/>
          <w:color w:val="000000"/>
          <w:sz w:val="28"/>
        </w:rPr>
        <w:t>
      2) после 1 января 2023 года, равен произведению 8 (восьми) процентов от суммы рассчитанных страховых резервов и поправочного коэффициента, рассчитанного как отношение суммы сформированных страховых резервов за вычетом доли перестраховщика в страховых резервах на конец предыдущего финансового года к общей сумме сформированных страховых резервов на конец предыдущего финансового года. Если величина полученного в результате расчета поправочного коэффициента меньше 0,85 (ноль целых восемьдесят пять сотых), то для расчета принимается 0,85 (ноль целых восемьдесят пять сотых).";</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72" w:id="55"/>
    <w:p>
      <w:pPr>
        <w:spacing w:after="0"/>
        <w:ind w:left="0"/>
        <w:jc w:val="both"/>
      </w:pPr>
      <w:r>
        <w:rPr>
          <w:rFonts w:ascii="Times New Roman"/>
          <w:b w:val="false"/>
          <w:i w:val="false"/>
          <w:color w:val="000000"/>
          <w:sz w:val="28"/>
        </w:rPr>
        <w:t>
      "23. По классам "страхование от несчастных случаев", "страхование на случай болезни", "обязательное страхование туриста" и "обязательное страхование работника от несчастных случаев при исполнении им трудовых (служебных) обязанностей" минимальный размер маржи платежеспособности рассчитывается в соответствии с пунктами 11, 12, 13 Нормативов.";</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нормативных правовых актов Республики Казахстан по вопросам регулирования и развития страховой деятельности, в которые вносятся изменения и дополнение (далее – Перечень);</w:t>
      </w:r>
    </w:p>
    <w:bookmarkStart w:name="z74"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утвержденных указанным постановлением:</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6" w:id="57"/>
    <w:p>
      <w:pPr>
        <w:spacing w:after="0"/>
        <w:ind w:left="0"/>
        <w:jc w:val="both"/>
      </w:pPr>
      <w:r>
        <w:rPr>
          <w:rFonts w:ascii="Times New Roman"/>
          <w:b w:val="false"/>
          <w:i w:val="false"/>
          <w:color w:val="000000"/>
          <w:sz w:val="28"/>
        </w:rPr>
        <w:t xml:space="preserve">
      "1. Настоящие Требования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(далее – Закон).";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облигаций международных финансовых организаций, приобретаемых страховыми холдингами, утвержденный указанным постановлением,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Start w:name="z78" w:id="58"/>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(зарегистрировано в Реестре государственной регистрации нормативных правовых актов под № 18290) следующие изменения и дополнение:</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0" w:id="5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47 Закона Республики Казахстан "О страховой деятельности"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59"/>
    <w:bookmarkStart w:name="z81"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формированию, методике расчета страховых резервов и их структуре, утвержденных указанным постановлением:</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83" w:id="61"/>
    <w:p>
      <w:pPr>
        <w:spacing w:after="0"/>
        <w:ind w:left="0"/>
        <w:jc w:val="both"/>
      </w:pPr>
      <w:r>
        <w:rPr>
          <w:rFonts w:ascii="Times New Roman"/>
          <w:b w:val="false"/>
          <w:i w:val="false"/>
          <w:color w:val="000000"/>
          <w:sz w:val="28"/>
        </w:rPr>
        <w:t>
      "9. РНП методом пропорции определяется путем суммирования незаработанных премий, рассчитанных по каждому договору.</w:t>
      </w:r>
    </w:p>
    <w:bookmarkEnd w:id="61"/>
    <w:bookmarkStart w:name="z84" w:id="62"/>
    <w:p>
      <w:pPr>
        <w:spacing w:after="0"/>
        <w:ind w:left="0"/>
        <w:jc w:val="both"/>
      </w:pPr>
      <w:r>
        <w:rPr>
          <w:rFonts w:ascii="Times New Roman"/>
          <w:b w:val="false"/>
          <w:i w:val="false"/>
          <w:color w:val="000000"/>
          <w:sz w:val="28"/>
        </w:rPr>
        <w:t>
      Незаработанная премия методом пропорции определяется по каждому договору как произведение страховой премии по договору на отношение неистекшего на отчетную дату срока действия страховой защиты (в днях) к сроку действия страховой защиты (в днях) со дня начала действия страховой защиты до конца действия страховой защиты:</w:t>
      </w:r>
    </w:p>
    <w:bookmarkEnd w:id="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785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785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63"/>
    <w:p>
      <w:pPr>
        <w:spacing w:after="0"/>
        <w:ind w:left="0"/>
        <w:jc w:val="both"/>
      </w:pPr>
      <w:r>
        <w:rPr>
          <w:rFonts w:ascii="Times New Roman"/>
          <w:b w:val="false"/>
          <w:i w:val="false"/>
          <w:color w:val="000000"/>
          <w:sz w:val="28"/>
        </w:rPr>
        <w:t>
      СП – страховая премия;</w:t>
      </w:r>
    </w:p>
    <w:bookmarkEnd w:id="63"/>
    <w:bookmarkStart w:name="z87" w:id="64"/>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sz w:val="28"/>
        </w:rPr>
        <w:t xml:space="preserve"> – количество дней, в течение которых действует страховая защита со дня начала действия страховой защиты до конца действия страховой защиты по договору страхования (перестрахования) (в случае если день начала действия страховой защиты наступает ранее дня вступления в силу договора страхования – количество дней с момента вступления в силу договора страхования до конца действия страховой защиты по договору страхования (перестрахования));</w:t>
      </w:r>
    </w:p>
    <w:bookmarkEnd w:id="64"/>
    <w:bookmarkStart w:name="z88" w:id="6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2</w:t>
      </w:r>
      <w:r>
        <w:rPr>
          <w:rFonts w:ascii="Times New Roman"/>
          <w:b w:val="false"/>
          <w:i w:val="false"/>
          <w:color w:val="000000"/>
          <w:sz w:val="28"/>
        </w:rPr>
        <w:t xml:space="preserve"> – количество дней действия страховой защиты, истекших с момента начала действия страховой защиты до даты расчета (включительно) (в случае если день начала действия страховой защиты наступает ранее дня вступления в силу договора страхования – количество дней действия страховой защиты, истекших с момента вступления в силу договора страхования до даты расчета (включительно)).";</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90" w:id="66"/>
    <w:p>
      <w:pPr>
        <w:spacing w:after="0"/>
        <w:ind w:left="0"/>
        <w:jc w:val="both"/>
      </w:pPr>
      <w:r>
        <w:rPr>
          <w:rFonts w:ascii="Times New Roman"/>
          <w:b w:val="false"/>
          <w:i w:val="false"/>
          <w:color w:val="000000"/>
          <w:sz w:val="28"/>
        </w:rPr>
        <w:t>
      "14. РПНУ по классу обязательного страхования работника от несчастных случаев при исполнении им трудовых (служебных) обязанностей состоит из двух частей и определяется по следующей формуле:</w:t>
      </w:r>
    </w:p>
    <w:bookmarkEnd w:id="66"/>
    <w:p>
      <w:pPr>
        <w:spacing w:after="0"/>
        <w:ind w:left="0"/>
        <w:jc w:val="both"/>
      </w:pPr>
      <w:r>
        <w:rPr>
          <w:rFonts w:ascii="Times New Roman"/>
          <w:b w:val="false"/>
          <w:i w:val="false"/>
          <w:color w:val="000000"/>
          <w:sz w:val="28"/>
        </w:rPr>
        <w:t>
      РПНУ = РПЕНУ + РПНЗУ, где:</w:t>
      </w:r>
    </w:p>
    <w:bookmarkStart w:name="z92" w:id="67"/>
    <w:p>
      <w:pPr>
        <w:spacing w:after="0"/>
        <w:ind w:left="0"/>
        <w:jc w:val="both"/>
      </w:pPr>
      <w:r>
        <w:rPr>
          <w:rFonts w:ascii="Times New Roman"/>
          <w:b w:val="false"/>
          <w:i w:val="false"/>
          <w:color w:val="000000"/>
          <w:sz w:val="28"/>
        </w:rPr>
        <w:t>
      РПЕНУ рассчитывается актуарными методами, указанными в пункте 11 Требований. При осуществлении страховой (перестраховочной) организацией деятельности по классу обязательного страхования работника от несчастных случаев при исполнении им трудовых (служебных) обязанностей менее 3 (трех) лет либо недостаточности данных для расчета РПЕНУ методами, указанными в пункте 11 Требований, РПЕНУ составляет не менее 5 (пяти) процентов от суммы страховой премии по договорам страхования (перестрахования) и дополнительным соглашениям к договорам страхования (перестрахования) по данному классу, вступившим в силу за последние двенадцать месяцев, предшествующих дате расчета.</w:t>
      </w:r>
    </w:p>
    <w:bookmarkEnd w:id="67"/>
    <w:bookmarkStart w:name="z93" w:id="68"/>
    <w:p>
      <w:pPr>
        <w:spacing w:after="0"/>
        <w:ind w:left="0"/>
        <w:jc w:val="both"/>
      </w:pPr>
      <w:r>
        <w:rPr>
          <w:rFonts w:ascii="Times New Roman"/>
          <w:b w:val="false"/>
          <w:i w:val="false"/>
          <w:color w:val="000000"/>
          <w:sz w:val="28"/>
        </w:rPr>
        <w:t xml:space="preserve">
      При распределении актуарием обязательств страховщика на основе понесенных убытков при расчете РПЕНУ актуарными методами Таблица накопленных убытков Расчета резерва произошедших, но не заявленных убытков методом цепной лестницы без поправки на инфляцию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Требованиям строится путем суммирования заявленных, но неурегулированных убытков и накопленных величин выплат (оплаченных убытков) на конец каждого периода наступления убытков, используемого для построения треугольника накопленных убытков, согласно Таблице накопленных убытков на основе понесенных убытков Распределения обязательств страховой (перестраховочной) организации на основе понесенных убытков согласно </w:t>
      </w:r>
      <w:r>
        <w:rPr>
          <w:rFonts w:ascii="Times New Roman"/>
          <w:b w:val="false"/>
          <w:i w:val="false"/>
          <w:color w:val="000000"/>
          <w:sz w:val="28"/>
        </w:rPr>
        <w:t>приложению 12</w:t>
      </w:r>
      <w:r>
        <w:rPr>
          <w:rFonts w:ascii="Times New Roman"/>
          <w:b w:val="false"/>
          <w:i w:val="false"/>
          <w:color w:val="000000"/>
          <w:sz w:val="28"/>
        </w:rPr>
        <w:t xml:space="preserve"> к Требованиям.</w:t>
      </w:r>
    </w:p>
    <w:bookmarkEnd w:id="68"/>
    <w:bookmarkStart w:name="z94" w:id="69"/>
    <w:p>
      <w:pPr>
        <w:spacing w:after="0"/>
        <w:ind w:left="0"/>
        <w:jc w:val="both"/>
      </w:pPr>
      <w:r>
        <w:rPr>
          <w:rFonts w:ascii="Times New Roman"/>
          <w:b w:val="false"/>
          <w:i w:val="false"/>
          <w:color w:val="000000"/>
          <w:sz w:val="28"/>
        </w:rPr>
        <w:t xml:space="preserve">
      При распределении актуарием обязательств страховщика на основе понесенных убытков при расчете РПЕНУ актуарными методами Таблица накопленных убытков с поправкой на инфляцию за прошедшие периоды Расчета резерва произошедших, но не заявленных убытков методом цепной лестницы с поправкой на инфляцию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Требованиям строится путем суммирования заявленных, но неурегулированных убытков и накопленных величин выплат (оплаченных убытков) на конец каждого периода наступления убытков, используемого для построения треугольника накопленных убытков, согласно Таблице накопленных убытков на основе понесенных убытков Распределения обязательств страховой (перестраховочной) организации на основе понесенных убытков согласно </w:t>
      </w:r>
      <w:r>
        <w:rPr>
          <w:rFonts w:ascii="Times New Roman"/>
          <w:b w:val="false"/>
          <w:i w:val="false"/>
          <w:color w:val="000000"/>
          <w:sz w:val="28"/>
        </w:rPr>
        <w:t>приложению 12</w:t>
      </w:r>
      <w:r>
        <w:rPr>
          <w:rFonts w:ascii="Times New Roman"/>
          <w:b w:val="false"/>
          <w:i w:val="false"/>
          <w:color w:val="000000"/>
          <w:sz w:val="28"/>
        </w:rPr>
        <w:t xml:space="preserve"> к Требованиям.</w:t>
      </w:r>
    </w:p>
    <w:bookmarkEnd w:id="69"/>
    <w:bookmarkStart w:name="z95" w:id="70"/>
    <w:p>
      <w:pPr>
        <w:spacing w:after="0"/>
        <w:ind w:left="0"/>
        <w:jc w:val="both"/>
      </w:pPr>
      <w:r>
        <w:rPr>
          <w:rFonts w:ascii="Times New Roman"/>
          <w:b w:val="false"/>
          <w:i w:val="false"/>
          <w:color w:val="000000"/>
          <w:sz w:val="28"/>
        </w:rPr>
        <w:t xml:space="preserve">
      При распределении актуарием обязательств страховщика на основе понесенных убытков при расчете РПЕНУ актуарными методами Таблица накопленных убытков Расчета резерва произошедших, но не заявленных убытков методом Борнхьюттера-Фергюсона (Bornhuetter-Ferguson)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Требованиям строится путем суммирования заявленных, но неурегулированных убытков и накопленных величин выплат (оплаченных убытков) на конец каждого периода наступления убытков, используемого для построения треугольника накопленных убытков, согласно Таблице накопленных убытков на основе понесенных убытков Распределения обязательств страховой (перестраховочной) организации на основе понесенных убытков согласно </w:t>
      </w:r>
      <w:r>
        <w:rPr>
          <w:rFonts w:ascii="Times New Roman"/>
          <w:b w:val="false"/>
          <w:i w:val="false"/>
          <w:color w:val="000000"/>
          <w:sz w:val="28"/>
        </w:rPr>
        <w:t>приложению 12</w:t>
      </w:r>
      <w:r>
        <w:rPr>
          <w:rFonts w:ascii="Times New Roman"/>
          <w:b w:val="false"/>
          <w:i w:val="false"/>
          <w:color w:val="000000"/>
          <w:sz w:val="28"/>
        </w:rPr>
        <w:t xml:space="preserve"> к Требованиям;</w:t>
      </w:r>
    </w:p>
    <w:bookmarkEnd w:id="70"/>
    <w:bookmarkStart w:name="z96" w:id="71"/>
    <w:p>
      <w:pPr>
        <w:spacing w:after="0"/>
        <w:ind w:left="0"/>
        <w:jc w:val="both"/>
      </w:pPr>
      <w:r>
        <w:rPr>
          <w:rFonts w:ascii="Times New Roman"/>
          <w:b w:val="false"/>
          <w:i w:val="false"/>
          <w:color w:val="000000"/>
          <w:sz w:val="28"/>
        </w:rPr>
        <w:t xml:space="preserve">
      РПНЗУ рассчитывается по выгодоприобретателям, по которым страховая выплата осуществлена в связи с установлением степени УПТ и возмещением вреда лицам, понесшим ущерб в результате смерти работника согласно </w:t>
      </w:r>
      <w:r>
        <w:rPr>
          <w:rFonts w:ascii="Times New Roman"/>
          <w:b w:val="false"/>
          <w:i w:val="false"/>
          <w:color w:val="000000"/>
          <w:sz w:val="28"/>
        </w:rPr>
        <w:t>статье 940</w:t>
      </w:r>
      <w:r>
        <w:rPr>
          <w:rFonts w:ascii="Times New Roman"/>
          <w:b w:val="false"/>
          <w:i w:val="false"/>
          <w:color w:val="000000"/>
          <w:sz w:val="28"/>
        </w:rPr>
        <w:t xml:space="preserve"> Гражданского кодекса.</w:t>
      </w:r>
    </w:p>
    <w:bookmarkEnd w:id="71"/>
    <w:bookmarkStart w:name="z97" w:id="72"/>
    <w:p>
      <w:pPr>
        <w:spacing w:after="0"/>
        <w:ind w:left="0"/>
        <w:jc w:val="both"/>
      </w:pPr>
      <w:r>
        <w:rPr>
          <w:rFonts w:ascii="Times New Roman"/>
          <w:b w:val="false"/>
          <w:i w:val="false"/>
          <w:color w:val="000000"/>
          <w:sz w:val="28"/>
        </w:rPr>
        <w:t xml:space="preserve">
      РПНЗУ формируется в целях оценки ожидаемых обязательств, связанных с продлением (переосвидетельствованием) степени УПТ и возмещением вреда лицам, понесшим ущерб в результате смерти работника согласно </w:t>
      </w:r>
      <w:r>
        <w:rPr>
          <w:rFonts w:ascii="Times New Roman"/>
          <w:b w:val="false"/>
          <w:i w:val="false"/>
          <w:color w:val="000000"/>
          <w:sz w:val="28"/>
        </w:rPr>
        <w:t>статье 940</w:t>
      </w:r>
      <w:r>
        <w:rPr>
          <w:rFonts w:ascii="Times New Roman"/>
          <w:b w:val="false"/>
          <w:i w:val="false"/>
          <w:color w:val="000000"/>
          <w:sz w:val="28"/>
        </w:rPr>
        <w:t xml:space="preserve"> Гражданского кодекса, принятых страховой (перестраховочной) организацией по договорам страхования (перестрахования).</w:t>
      </w:r>
    </w:p>
    <w:bookmarkEnd w:id="72"/>
    <w:bookmarkStart w:name="z98" w:id="73"/>
    <w:p>
      <w:pPr>
        <w:spacing w:after="0"/>
        <w:ind w:left="0"/>
        <w:jc w:val="both"/>
      </w:pPr>
      <w:r>
        <w:rPr>
          <w:rFonts w:ascii="Times New Roman"/>
          <w:b w:val="false"/>
          <w:i w:val="false"/>
          <w:color w:val="000000"/>
          <w:sz w:val="28"/>
        </w:rPr>
        <w:t>
      РПНЗУ равен сумме прогнозируемых выплат, связанных с продлением (переосвидетельствованием) степени УПТ, определяемой индивидуально по каждому выгодоприобретателю, которому установлена степень УПТ или по которому ожидается повторное продление (переосвидетельствование) степени УПТ, и связанных с возмещением вреда лицам, понесшим ущерб в результате смерти работника согласно статье 940 Гражданского кодекса.</w:t>
      </w:r>
    </w:p>
    <w:bookmarkEnd w:id="73"/>
    <w:bookmarkStart w:name="z99" w:id="74"/>
    <w:p>
      <w:pPr>
        <w:spacing w:after="0"/>
        <w:ind w:left="0"/>
        <w:jc w:val="both"/>
      </w:pPr>
      <w:r>
        <w:rPr>
          <w:rFonts w:ascii="Times New Roman"/>
          <w:b w:val="false"/>
          <w:i w:val="false"/>
          <w:color w:val="000000"/>
          <w:sz w:val="28"/>
        </w:rPr>
        <w:t xml:space="preserve">
      Расчет РПНЗУ осуществляется в соответствии с Правилами расчета аннуитетных выплат по договору аннуитета и о требованиях к договору аннуитета и допустимому уровню расходов страховщика на ведение дела по заключаемым договорам аннуитета,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марта 2010 года № 28, зарегистрированным в Реестре государственной регистрации нормативных правовых актов под № 6156.</w:t>
      </w:r>
    </w:p>
    <w:bookmarkEnd w:id="74"/>
    <w:bookmarkStart w:name="z100" w:id="75"/>
    <w:p>
      <w:pPr>
        <w:spacing w:after="0"/>
        <w:ind w:left="0"/>
        <w:jc w:val="both"/>
      </w:pPr>
      <w:r>
        <w:rPr>
          <w:rFonts w:ascii="Times New Roman"/>
          <w:b w:val="false"/>
          <w:i w:val="false"/>
          <w:color w:val="000000"/>
          <w:sz w:val="28"/>
        </w:rPr>
        <w:t>
      В целях оценки прогнозируемых выплат по каждому выгодоприобретателю продление срока установления степени УПТ осуществляется до достижения пенсионного возраста, установленного Социальным кодексом Республики Казахстан, с вероятностью 100 (сто) процентов.</w:t>
      </w:r>
    </w:p>
    <w:bookmarkEnd w:id="75"/>
    <w:bookmarkStart w:name="z101" w:id="76"/>
    <w:p>
      <w:pPr>
        <w:spacing w:after="0"/>
        <w:ind w:left="0"/>
        <w:jc w:val="both"/>
      </w:pPr>
      <w:r>
        <w:rPr>
          <w:rFonts w:ascii="Times New Roman"/>
          <w:b w:val="false"/>
          <w:i w:val="false"/>
          <w:color w:val="000000"/>
          <w:sz w:val="28"/>
        </w:rPr>
        <w:t xml:space="preserve">
      В целях оценки прогнозируемых выплат РПНЗУ формируется по каждому лицу, имеющему право на возмещение вреда лицам, понесшим ущерб в результате смерти работника согласно </w:t>
      </w:r>
      <w:r>
        <w:rPr>
          <w:rFonts w:ascii="Times New Roman"/>
          <w:b w:val="false"/>
          <w:i w:val="false"/>
          <w:color w:val="000000"/>
          <w:sz w:val="28"/>
        </w:rPr>
        <w:t>статье 940</w:t>
      </w:r>
      <w:r>
        <w:rPr>
          <w:rFonts w:ascii="Times New Roman"/>
          <w:b w:val="false"/>
          <w:i w:val="false"/>
          <w:color w:val="000000"/>
          <w:sz w:val="28"/>
        </w:rPr>
        <w:t xml:space="preserve"> Гражданского кодекса, с вероятностью осуществления выплат 100 (сто) процентов.</w:t>
      </w:r>
    </w:p>
    <w:bookmarkEnd w:id="76"/>
    <w:bookmarkStart w:name="z102" w:id="77"/>
    <w:p>
      <w:pPr>
        <w:spacing w:after="0"/>
        <w:ind w:left="0"/>
        <w:jc w:val="both"/>
      </w:pPr>
      <w:r>
        <w:rPr>
          <w:rFonts w:ascii="Times New Roman"/>
          <w:b w:val="false"/>
          <w:i w:val="false"/>
          <w:color w:val="000000"/>
          <w:sz w:val="28"/>
        </w:rPr>
        <w:t>
      Если в страховую (перестраховочную) организацию заявление по заключению договора аннуитета в связи с повторным продлением (переосвидетельствованием) степени УПТ выгодоприобретателя не поступало в течение 2 (двух) лет после истечения срока действия договора аннуитета и страховая (перестраховочная) организация:</w:t>
      </w:r>
    </w:p>
    <w:bookmarkEnd w:id="77"/>
    <w:bookmarkStart w:name="z103" w:id="78"/>
    <w:p>
      <w:pPr>
        <w:spacing w:after="0"/>
        <w:ind w:left="0"/>
        <w:jc w:val="both"/>
      </w:pPr>
      <w:r>
        <w:rPr>
          <w:rFonts w:ascii="Times New Roman"/>
          <w:b w:val="false"/>
          <w:i w:val="false"/>
          <w:color w:val="000000"/>
          <w:sz w:val="28"/>
        </w:rPr>
        <w:t>
      1) не обладает информацией о продлении (переосвидетельствовании) степени УПТ выгодоприобретателя после истечения срока действия договора аннуитета, то актуарий при необходимости исключает из расчета РПНЗУ приведенную сумму прогнозируемых выплат по выгодоприобретателю;</w:t>
      </w:r>
    </w:p>
    <w:bookmarkEnd w:id="78"/>
    <w:bookmarkStart w:name="z104" w:id="79"/>
    <w:p>
      <w:pPr>
        <w:spacing w:after="0"/>
        <w:ind w:left="0"/>
        <w:jc w:val="both"/>
      </w:pPr>
      <w:r>
        <w:rPr>
          <w:rFonts w:ascii="Times New Roman"/>
          <w:b w:val="false"/>
          <w:i w:val="false"/>
          <w:color w:val="000000"/>
          <w:sz w:val="28"/>
        </w:rPr>
        <w:t>
      2) обладает информацией о продлении (переосвидетельствовании) степени УПТ выгодоприобретателя после истечения срока действия договора аннуитета, то актуарий оценку прогнозируемых выплат осуществляет с учетом вероятности повторного заявления выгодоприобретателя, рассчитанной актуарием исходя из его профессионального суждения.</w:t>
      </w:r>
    </w:p>
    <w:bookmarkEnd w:id="79"/>
    <w:bookmarkStart w:name="z105" w:id="80"/>
    <w:p>
      <w:pPr>
        <w:spacing w:after="0"/>
        <w:ind w:left="0"/>
        <w:jc w:val="both"/>
      </w:pPr>
      <w:r>
        <w:rPr>
          <w:rFonts w:ascii="Times New Roman"/>
          <w:b w:val="false"/>
          <w:i w:val="false"/>
          <w:color w:val="000000"/>
          <w:sz w:val="28"/>
        </w:rPr>
        <w:t xml:space="preserve">
      При принятии и (или) передаче в перестрахование обязательств по договорам страхования, заключенным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(далее – Закон об обязательном страховании работника от несчастных случаев), перестрахователем представляются параметры резервного базиса, используемого при расчете РПНЗУ, перестраховщику-резиденту Республики Казахстан путем указания таких параметров в договоре перестрахования и (или) договоре, заключаемого через посредников.</w:t>
      </w:r>
    </w:p>
    <w:bookmarkEnd w:id="80"/>
    <w:bookmarkStart w:name="z106" w:id="81"/>
    <w:p>
      <w:pPr>
        <w:spacing w:after="0"/>
        <w:ind w:left="0"/>
        <w:jc w:val="both"/>
      </w:pPr>
      <w:r>
        <w:rPr>
          <w:rFonts w:ascii="Times New Roman"/>
          <w:b w:val="false"/>
          <w:i w:val="false"/>
          <w:color w:val="000000"/>
          <w:sz w:val="28"/>
        </w:rPr>
        <w:t>
      Значения параметров резервного базиса, используемого перестраховщиком-резидентом Республики Казахстан при расчете РПНЗУ, совпадают со значениями параметров резервного базиса, используемого перестрахователем при расчете РПНЗУ, за исключением случая, когда резервный базис перестраховщика-резидента Республики Казахстан является более консервативным, чем резервный базис перестрахователя.";</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08" w:id="82"/>
    <w:p>
      <w:pPr>
        <w:spacing w:after="0"/>
        <w:ind w:left="0"/>
        <w:jc w:val="both"/>
      </w:pPr>
      <w:r>
        <w:rPr>
          <w:rFonts w:ascii="Times New Roman"/>
          <w:b w:val="false"/>
          <w:i w:val="false"/>
          <w:color w:val="000000"/>
          <w:sz w:val="28"/>
        </w:rPr>
        <w:t>
      "21. РЗНУ формируется отдельно по каждому заявленному, но неурегулированному убытку, с даты получения заявления страхователя (застрахованного, выгодоприобретателя) о наступлении страхового события и (или) страхового случая и (или) об осуществлении страховой выплаты, в зависимости от того, какая из дат наступит раньше, до даты осуществления страховой выплаты либо вынесения решения об отказе в осуществлении страховой выплаты страховщиком, либо письменного отказа страхователя (застрахованного, выгодоприобретателя) в получении страховой выплаты, в том числе в рассмотрении заявления о наступлении страхового события или страхового случая, в зависимости от того, какая из дат наступит раньше.</w:t>
      </w:r>
    </w:p>
    <w:bookmarkEnd w:id="82"/>
    <w:bookmarkStart w:name="z109" w:id="83"/>
    <w:p>
      <w:pPr>
        <w:spacing w:after="0"/>
        <w:ind w:left="0"/>
        <w:jc w:val="both"/>
      </w:pPr>
      <w:r>
        <w:rPr>
          <w:rFonts w:ascii="Times New Roman"/>
          <w:b w:val="false"/>
          <w:i w:val="false"/>
          <w:color w:val="000000"/>
          <w:sz w:val="28"/>
        </w:rPr>
        <w:t>
      При отсутствии по заявленному, но неурегулированному убытку оснований для формирования РЗНУ, установленных пунктом 25 Требований, страховая (перестраховочная) организация осуществляет списание РЗНУ по истечению 3 (трех) лет с даты получения заявления страхователя (застрахованного, выгодоприобретателя) о наступлении страхового события и (или) страхового случая и (или) об осуществлении страховой выплаты.";</w:t>
      </w:r>
    </w:p>
    <w:bookmarkEnd w:id="83"/>
    <w:bookmarkStart w:name="z110" w:id="84"/>
    <w:p>
      <w:pPr>
        <w:spacing w:after="0"/>
        <w:ind w:left="0"/>
        <w:jc w:val="both"/>
      </w:pPr>
      <w:r>
        <w:rPr>
          <w:rFonts w:ascii="Times New Roman"/>
          <w:b w:val="false"/>
          <w:i w:val="false"/>
          <w:color w:val="000000"/>
          <w:sz w:val="28"/>
        </w:rPr>
        <w:t>
      дополнить пунктом 21-1 следующего содержания:</w:t>
      </w:r>
    </w:p>
    <w:bookmarkEnd w:id="84"/>
    <w:bookmarkStart w:name="z111" w:id="85"/>
    <w:p>
      <w:pPr>
        <w:spacing w:after="0"/>
        <w:ind w:left="0"/>
        <w:jc w:val="both"/>
      </w:pPr>
      <w:r>
        <w:rPr>
          <w:rFonts w:ascii="Times New Roman"/>
          <w:b w:val="false"/>
          <w:i w:val="false"/>
          <w:color w:val="000000"/>
          <w:sz w:val="28"/>
        </w:rPr>
        <w:t>
      "21-1. РЗНУ по заявленному, но неурегулированному убытку в рамках договора страхования жизни, по которому принято решение об осуществлении страховой выплаты в срок, составляющий более 3 (трех) лет с даты принятия такого решения и (или) с даты получения заявления страхователя (застрахованного, выгодоприобретателя) о наступлении страхового события и (или) страхового случая и (или) об осуществлении страховой выплаты, в зависимости от того, какая из дат наступит раньше, формируется до даты осуществления страховой выплаты в полном объеме.";</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113" w:id="86"/>
    <w:p>
      <w:pPr>
        <w:spacing w:after="0"/>
        <w:ind w:left="0"/>
        <w:jc w:val="both"/>
      </w:pPr>
      <w:r>
        <w:rPr>
          <w:rFonts w:ascii="Times New Roman"/>
          <w:b w:val="false"/>
          <w:i w:val="false"/>
          <w:color w:val="000000"/>
          <w:sz w:val="28"/>
        </w:rPr>
        <w:t>
      "36. Выбор таблиц смертности, заболеваемости, инвалидности производится с учетом особенностей страхового риска по договору страхования, на основе характеристик застрахованного и (или) страхователя.</w:t>
      </w:r>
    </w:p>
    <w:bookmarkEnd w:id="86"/>
    <w:bookmarkStart w:name="z114" w:id="87"/>
    <w:p>
      <w:pPr>
        <w:spacing w:after="0"/>
        <w:ind w:left="0"/>
        <w:jc w:val="both"/>
      </w:pPr>
      <w:r>
        <w:rPr>
          <w:rFonts w:ascii="Times New Roman"/>
          <w:b w:val="false"/>
          <w:i w:val="false"/>
          <w:color w:val="000000"/>
          <w:sz w:val="28"/>
        </w:rPr>
        <w:t>
      При расчете РНУ по договорам пенсионного аннуитета:</w:t>
      </w:r>
    </w:p>
    <w:bookmarkEnd w:id="87"/>
    <w:bookmarkStart w:name="z115" w:id="88"/>
    <w:p>
      <w:pPr>
        <w:spacing w:after="0"/>
        <w:ind w:left="0"/>
        <w:jc w:val="both"/>
      </w:pPr>
      <w:r>
        <w:rPr>
          <w:rFonts w:ascii="Times New Roman"/>
          <w:b w:val="false"/>
          <w:i w:val="false"/>
          <w:color w:val="000000"/>
          <w:sz w:val="28"/>
        </w:rPr>
        <w:t xml:space="preserve">
      заключенным до 1 июля 2017 года, используются показатели, не превышающие показатели смертности для расчета страховых выплат по договору пенсионного аннуитета согласно </w:t>
      </w:r>
      <w:r>
        <w:rPr>
          <w:rFonts w:ascii="Times New Roman"/>
          <w:b w:val="false"/>
          <w:i w:val="false"/>
          <w:color w:val="000000"/>
          <w:sz w:val="28"/>
        </w:rPr>
        <w:t>приложению 13</w:t>
      </w:r>
      <w:r>
        <w:rPr>
          <w:rFonts w:ascii="Times New Roman"/>
          <w:b w:val="false"/>
          <w:i w:val="false"/>
          <w:color w:val="000000"/>
          <w:sz w:val="28"/>
        </w:rPr>
        <w:t xml:space="preserve"> к Требованиям;</w:t>
      </w:r>
    </w:p>
    <w:bookmarkEnd w:id="88"/>
    <w:bookmarkStart w:name="z116" w:id="89"/>
    <w:p>
      <w:pPr>
        <w:spacing w:after="0"/>
        <w:ind w:left="0"/>
        <w:jc w:val="both"/>
      </w:pPr>
      <w:r>
        <w:rPr>
          <w:rFonts w:ascii="Times New Roman"/>
          <w:b w:val="false"/>
          <w:i w:val="false"/>
          <w:color w:val="000000"/>
          <w:sz w:val="28"/>
        </w:rPr>
        <w:t xml:space="preserve">
      заключенным после 1 июля 2017 года, используются показатели, не превышающие показатели смертности для расчета страховых выплат по договору пенсионного аннуитета, указанные в </w:t>
      </w:r>
      <w:r>
        <w:rPr>
          <w:rFonts w:ascii="Times New Roman"/>
          <w:b w:val="false"/>
          <w:i w:val="false"/>
          <w:color w:val="000000"/>
          <w:sz w:val="28"/>
        </w:rPr>
        <w:t>приложении 2</w:t>
      </w:r>
      <w:r>
        <w:rPr>
          <w:rFonts w:ascii="Times New Roman"/>
          <w:b w:val="false"/>
          <w:i w:val="false"/>
          <w:color w:val="000000"/>
          <w:sz w:val="28"/>
        </w:rPr>
        <w:t xml:space="preserve"> к Методике расчета страховой премии и страховой выплаты по договору пенсионного аннуитета, утвержденной постановлением Правления Агентства Республики Казахстан по регулированию и развитию финансового рынка от 7 июня 2023 года № 45 "Об утверждении типового договора пенсионного аннуитета, установлении Методики расчета страховой премии и страховой выплаты из страховой организации по договору пенсионного аннуитета, допустимого уровня расходов страховой организации на ведение дела по заключаемым договорам пенсионного аннуитета, а также ставки индексации страховой выплаты", зарегистрированным в Реестре государственной регистрации нормативных правовых актов под № 32831.";</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118" w:id="90"/>
    <w:p>
      <w:pPr>
        <w:spacing w:after="0"/>
        <w:ind w:left="0"/>
        <w:jc w:val="both"/>
      </w:pPr>
      <w:r>
        <w:rPr>
          <w:rFonts w:ascii="Times New Roman"/>
          <w:b w:val="false"/>
          <w:i w:val="false"/>
          <w:color w:val="000000"/>
          <w:sz w:val="28"/>
        </w:rPr>
        <w:t>
      "38. РНУ по отдельному договору страхования (перестрахования) жизни, кроме договора страхования, предусматривающего условие участия страхователя в инвестициях, равен максимальной величине из двух следующих величин:</w:t>
      </w:r>
    </w:p>
    <w:bookmarkEnd w:id="90"/>
    <w:bookmarkStart w:name="z119" w:id="91"/>
    <w:p>
      <w:pPr>
        <w:spacing w:after="0"/>
        <w:ind w:left="0"/>
        <w:jc w:val="both"/>
      </w:pPr>
      <w:r>
        <w:rPr>
          <w:rFonts w:ascii="Times New Roman"/>
          <w:b w:val="false"/>
          <w:i w:val="false"/>
          <w:color w:val="000000"/>
          <w:sz w:val="28"/>
        </w:rPr>
        <w:t>
      1) РНУ 1 = ПосВ + ПосРВ + ПосОР - ПосСВ,</w:t>
      </w:r>
    </w:p>
    <w:bookmarkEnd w:id="91"/>
    <w:bookmarkStart w:name="z120" w:id="92"/>
    <w:p>
      <w:pPr>
        <w:spacing w:after="0"/>
        <w:ind w:left="0"/>
        <w:jc w:val="both"/>
      </w:pPr>
      <w:r>
        <w:rPr>
          <w:rFonts w:ascii="Times New Roman"/>
          <w:b w:val="false"/>
          <w:i w:val="false"/>
          <w:color w:val="000000"/>
          <w:sz w:val="28"/>
        </w:rPr>
        <w:t>
      где:</w:t>
      </w:r>
    </w:p>
    <w:bookmarkEnd w:id="92"/>
    <w:bookmarkStart w:name="z121" w:id="93"/>
    <w:p>
      <w:pPr>
        <w:spacing w:after="0"/>
        <w:ind w:left="0"/>
        <w:jc w:val="both"/>
      </w:pPr>
      <w:r>
        <w:rPr>
          <w:rFonts w:ascii="Times New Roman"/>
          <w:b w:val="false"/>
          <w:i w:val="false"/>
          <w:color w:val="000000"/>
          <w:sz w:val="28"/>
        </w:rPr>
        <w:t>
      ПосВ – приведенная ожидаемая стоимость страховых выплат, предусмотренных условиями договора страхования (перестрахования);</w:t>
      </w:r>
    </w:p>
    <w:bookmarkEnd w:id="93"/>
    <w:bookmarkStart w:name="z122" w:id="94"/>
    <w:p>
      <w:pPr>
        <w:spacing w:after="0"/>
        <w:ind w:left="0"/>
        <w:jc w:val="both"/>
      </w:pPr>
      <w:r>
        <w:rPr>
          <w:rFonts w:ascii="Times New Roman"/>
          <w:b w:val="false"/>
          <w:i w:val="false"/>
          <w:color w:val="000000"/>
          <w:sz w:val="28"/>
        </w:rPr>
        <w:t>
      ПосРВ – приведенная ожидаемая стоимость расходов страховой (перестраховочной) организации, непосредственно связанных с рассмотрением, урегулированием, определением размера страховых выплат;</w:t>
      </w:r>
    </w:p>
    <w:bookmarkEnd w:id="94"/>
    <w:bookmarkStart w:name="z123" w:id="95"/>
    <w:p>
      <w:pPr>
        <w:spacing w:after="0"/>
        <w:ind w:left="0"/>
        <w:jc w:val="both"/>
      </w:pPr>
      <w:r>
        <w:rPr>
          <w:rFonts w:ascii="Times New Roman"/>
          <w:b w:val="false"/>
          <w:i w:val="false"/>
          <w:color w:val="000000"/>
          <w:sz w:val="28"/>
        </w:rPr>
        <w:t>
      ПосОР – приведенная ожидаемая стоимость операционных расходов страховой (перестраховочной) организации, связанных с ведением дела;</w:t>
      </w:r>
    </w:p>
    <w:bookmarkEnd w:id="95"/>
    <w:bookmarkStart w:name="z124" w:id="96"/>
    <w:p>
      <w:pPr>
        <w:spacing w:after="0"/>
        <w:ind w:left="0"/>
        <w:jc w:val="both"/>
      </w:pPr>
      <w:r>
        <w:rPr>
          <w:rFonts w:ascii="Times New Roman"/>
          <w:b w:val="false"/>
          <w:i w:val="false"/>
          <w:color w:val="000000"/>
          <w:sz w:val="28"/>
        </w:rPr>
        <w:t>
      ПосСВ – приведенная ожидаемая стоимость страховых взносов (при единовременной уплате – страховой премии), которые подлежат получению страховой (перестраховочной) организацией после даты расчета;</w:t>
      </w:r>
    </w:p>
    <w:bookmarkEnd w:id="96"/>
    <w:bookmarkStart w:name="z125" w:id="97"/>
    <w:p>
      <w:pPr>
        <w:spacing w:after="0"/>
        <w:ind w:left="0"/>
        <w:jc w:val="both"/>
      </w:pPr>
      <w:r>
        <w:rPr>
          <w:rFonts w:ascii="Times New Roman"/>
          <w:b w:val="false"/>
          <w:i w:val="false"/>
          <w:color w:val="000000"/>
          <w:sz w:val="28"/>
        </w:rPr>
        <w:t>
      2) РНУ 2 = ПосВ - ПосСНВ,</w:t>
      </w:r>
    </w:p>
    <w:bookmarkEnd w:id="97"/>
    <w:bookmarkStart w:name="z126" w:id="98"/>
    <w:p>
      <w:pPr>
        <w:spacing w:after="0"/>
        <w:ind w:left="0"/>
        <w:jc w:val="both"/>
      </w:pPr>
      <w:r>
        <w:rPr>
          <w:rFonts w:ascii="Times New Roman"/>
          <w:b w:val="false"/>
          <w:i w:val="false"/>
          <w:color w:val="000000"/>
          <w:sz w:val="28"/>
        </w:rPr>
        <w:t>
      где:</w:t>
      </w:r>
    </w:p>
    <w:bookmarkEnd w:id="98"/>
    <w:bookmarkStart w:name="z127" w:id="99"/>
    <w:p>
      <w:pPr>
        <w:spacing w:after="0"/>
        <w:ind w:left="0"/>
        <w:jc w:val="both"/>
      </w:pPr>
      <w:r>
        <w:rPr>
          <w:rFonts w:ascii="Times New Roman"/>
          <w:b w:val="false"/>
          <w:i w:val="false"/>
          <w:color w:val="000000"/>
          <w:sz w:val="28"/>
        </w:rPr>
        <w:t>
      ПосВ – приведенная ожидаемая стоимость страховых выплат, предусмотренных условиями договора страхования (перестрахования) исключительно при наступлении страхового случая (без учета страховой выплаты, осуществляемой по истечении установленного договором страхования периода);</w:t>
      </w:r>
    </w:p>
    <w:bookmarkEnd w:id="99"/>
    <w:bookmarkStart w:name="z128" w:id="100"/>
    <w:p>
      <w:pPr>
        <w:spacing w:after="0"/>
        <w:ind w:left="0"/>
        <w:jc w:val="both"/>
      </w:pPr>
      <w:r>
        <w:rPr>
          <w:rFonts w:ascii="Times New Roman"/>
          <w:b w:val="false"/>
          <w:i w:val="false"/>
          <w:color w:val="000000"/>
          <w:sz w:val="28"/>
        </w:rPr>
        <w:t>
      ПосСНВ – приведенная ожидаемая стоимость страховых нетто-взносов (при единовременной уплате – страховой нетто-премии), которые подлежат получению страховой (перестраховочной) организацией после даты расчета за принятие ею обязательств исключительно по осуществлению страховых выплат, связанных с наступлением страхового случая (без учета страховой выплаты, осуществляемой по истечении установленного договором страхования периода).</w:t>
      </w:r>
    </w:p>
    <w:bookmarkEnd w:id="100"/>
    <w:bookmarkStart w:name="z129" w:id="101"/>
    <w:p>
      <w:pPr>
        <w:spacing w:after="0"/>
        <w:ind w:left="0"/>
        <w:jc w:val="both"/>
      </w:pPr>
      <w:r>
        <w:rPr>
          <w:rFonts w:ascii="Times New Roman"/>
          <w:b w:val="false"/>
          <w:i w:val="false"/>
          <w:color w:val="000000"/>
          <w:sz w:val="28"/>
        </w:rPr>
        <w:t xml:space="preserve">
      Для целей расчета расчетной суммы по договорам страхования жизни в рамках государственной образовательной накопительной системы, по которым наступил страховой случай, предусмотренный </w:t>
      </w:r>
      <w:r>
        <w:rPr>
          <w:rFonts w:ascii="Times New Roman"/>
          <w:b w:val="false"/>
          <w:i w:val="false"/>
          <w:color w:val="000000"/>
          <w:sz w:val="28"/>
        </w:rPr>
        <w:t>подпунктами 1)</w:t>
      </w:r>
      <w:r>
        <w:rPr>
          <w:rFonts w:ascii="Times New Roman"/>
          <w:b w:val="false"/>
          <w:i w:val="false"/>
          <w:color w:val="000000"/>
          <w:sz w:val="28"/>
        </w:rPr>
        <w:t xml:space="preserve"> или </w:t>
      </w:r>
      <w:r>
        <w:rPr>
          <w:rFonts w:ascii="Times New Roman"/>
          <w:b w:val="false"/>
          <w:i w:val="false"/>
          <w:color w:val="000000"/>
          <w:sz w:val="28"/>
        </w:rPr>
        <w:t>3)</w:t>
      </w:r>
      <w:r>
        <w:rPr>
          <w:rFonts w:ascii="Times New Roman"/>
          <w:b w:val="false"/>
          <w:i w:val="false"/>
          <w:color w:val="000000"/>
          <w:sz w:val="28"/>
        </w:rPr>
        <w:t xml:space="preserve"> пункта 9 статьи 11-1 Закона Республики Казахстан "О государственной образовательной накопительной системе", РНУ равен текущей стоимости следующего значения:</w:t>
      </w:r>
    </w:p>
    <w:bookmarkEnd w:id="1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782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782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 w:id="102"/>
    <w:p>
      <w:pPr>
        <w:spacing w:after="0"/>
        <w:ind w:left="0"/>
        <w:jc w:val="both"/>
      </w:pPr>
      <w:r>
        <w:rPr>
          <w:rFonts w:ascii="Times New Roman"/>
          <w:b w:val="false"/>
          <w:i w:val="false"/>
          <w:color w:val="000000"/>
          <w:sz w:val="28"/>
        </w:rPr>
        <w:t>
      где</w:t>
      </w:r>
    </w:p>
    <w:bookmarkEnd w:id="102"/>
    <w:bookmarkStart w:name="z132" w:id="103"/>
    <w:p>
      <w:pPr>
        <w:spacing w:after="0"/>
        <w:ind w:left="0"/>
        <w:jc w:val="both"/>
      </w:pPr>
      <w:r>
        <w:rPr>
          <w:rFonts w:ascii="Times New Roman"/>
          <w:b w:val="false"/>
          <w:i w:val="false"/>
          <w:color w:val="000000"/>
          <w:sz w:val="28"/>
        </w:rPr>
        <w:t>
      CC – страховая сумма;</w:t>
      </w:r>
    </w:p>
    <w:bookmarkEnd w:id="103"/>
    <w:bookmarkStart w:name="z133" w:id="104"/>
    <w:p>
      <w:pPr>
        <w:spacing w:after="0"/>
        <w:ind w:left="0"/>
        <w:jc w:val="both"/>
      </w:pPr>
      <w:r>
        <w:rPr>
          <w:rFonts w:ascii="Times New Roman"/>
          <w:b w:val="false"/>
          <w:i w:val="false"/>
          <w:color w:val="000000"/>
          <w:sz w:val="28"/>
        </w:rPr>
        <w:t>
      CB</w:t>
      </w:r>
      <w:r>
        <w:rPr>
          <w:rFonts w:ascii="Times New Roman"/>
          <w:b w:val="false"/>
          <w:i w:val="false"/>
          <w:color w:val="000000"/>
          <w:vertAlign w:val="subscript"/>
        </w:rPr>
        <w:t>acc</w:t>
      </w:r>
      <w:r>
        <w:rPr>
          <w:rFonts w:ascii="Times New Roman"/>
          <w:b w:val="false"/>
          <w:i w:val="false"/>
          <w:color w:val="000000"/>
          <w:sz w:val="28"/>
        </w:rPr>
        <w:t xml:space="preserve"> – сумма осуществленных страховых выплат на момент расчета расчетной суммы, предусмотренных условиями договора страхования;</w:t>
      </w:r>
    </w:p>
    <w:bookmarkEnd w:id="104"/>
    <w:bookmarkStart w:name="z134" w:id="105"/>
    <w:p>
      <w:pPr>
        <w:spacing w:after="0"/>
        <w:ind w:left="0"/>
        <w:jc w:val="both"/>
      </w:pPr>
      <w:r>
        <w:rPr>
          <w:rFonts w:ascii="Times New Roman"/>
          <w:b w:val="false"/>
          <w:i w:val="false"/>
          <w:color w:val="000000"/>
          <w:sz w:val="28"/>
        </w:rPr>
        <w:t>
      СВ</w:t>
      </w:r>
      <w:r>
        <w:rPr>
          <w:rFonts w:ascii="Times New Roman"/>
          <w:b w:val="false"/>
          <w:i w:val="false"/>
          <w:color w:val="000000"/>
          <w:vertAlign w:val="subscript"/>
        </w:rPr>
        <w:t>all</w:t>
      </w:r>
      <w:r>
        <w:rPr>
          <w:rFonts w:ascii="Times New Roman"/>
          <w:b w:val="false"/>
          <w:i w:val="false"/>
          <w:color w:val="000000"/>
          <w:sz w:val="28"/>
        </w:rPr>
        <w:t xml:space="preserve"> – общая сумма периодичных страховых выплат на дату расчета расчетной суммы.";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136" w:id="106"/>
    <w:p>
      <w:pPr>
        <w:spacing w:after="0"/>
        <w:ind w:left="0"/>
        <w:jc w:val="both"/>
      </w:pPr>
      <w:r>
        <w:rPr>
          <w:rFonts w:ascii="Times New Roman"/>
          <w:b w:val="false"/>
          <w:i w:val="false"/>
          <w:color w:val="000000"/>
          <w:sz w:val="28"/>
        </w:rPr>
        <w:t>
      "49. По договорам пропорционального перестрахования доля перестраховщика в РНП определяется по каждому договору страхования (перестрахования) как произведение коэффициента и РНП по договору страхования (перестрахования) на отчетную дату.</w:t>
      </w:r>
    </w:p>
    <w:bookmarkEnd w:id="106"/>
    <w:bookmarkStart w:name="z137" w:id="107"/>
    <w:p>
      <w:pPr>
        <w:spacing w:after="0"/>
        <w:ind w:left="0"/>
        <w:jc w:val="both"/>
      </w:pPr>
      <w:r>
        <w:rPr>
          <w:rFonts w:ascii="Times New Roman"/>
          <w:b w:val="false"/>
          <w:i w:val="false"/>
          <w:color w:val="000000"/>
          <w:sz w:val="28"/>
        </w:rPr>
        <w:t>
      Доля перестраховщика в РНП = bRE РНП, где:</w:t>
      </w:r>
    </w:p>
    <w:bookmarkEnd w:id="107"/>
    <w:bookmarkStart w:name="z138" w:id="108"/>
    <w:p>
      <w:pPr>
        <w:spacing w:after="0"/>
        <w:ind w:left="0"/>
        <w:jc w:val="both"/>
      </w:pPr>
      <w:r>
        <w:rPr>
          <w:rFonts w:ascii="Times New Roman"/>
          <w:b w:val="false"/>
          <w:i w:val="false"/>
          <w:color w:val="000000"/>
          <w:sz w:val="28"/>
        </w:rPr>
        <w:t>
      коэффициент bRE равен отношению страховой премии по договору перестрахования к страховой премии по договору страхования.</w:t>
      </w:r>
    </w:p>
    <w:bookmarkEnd w:id="108"/>
    <w:bookmarkStart w:name="z139" w:id="109"/>
    <w:p>
      <w:pPr>
        <w:spacing w:after="0"/>
        <w:ind w:left="0"/>
        <w:jc w:val="both"/>
      </w:pPr>
      <w:r>
        <w:rPr>
          <w:rFonts w:ascii="Times New Roman"/>
          <w:b w:val="false"/>
          <w:i w:val="false"/>
          <w:color w:val="000000"/>
          <w:sz w:val="28"/>
        </w:rPr>
        <w:t xml:space="preserve">
      При расчете пруденциальных нормативов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нормативных правовых актов под № 14794 (далее – постановление № 304) и нормативными значениями и методикой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порядком формирования активов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принимаемых в качестве резерва, и их минимальным размером (далее – Нормативы) в коэффициенте bRE страховая премия по договору перестрахования принимается в расчет, за исключением комиссионного вознаграждения цеденту, страховому брокеру либо филиалу страхового брокера-нерезидента Республики Казахстан по договору перестрахования (страхования) и возмещений, платежей страховым посредникам и иным лицам от перестраховщика, не относящихся к страховой защите по рискам, передаваемым в перестрахование.".</w:t>
      </w:r>
    </w:p>
    <w:bookmarkEnd w:id="109"/>
    <w:bookmarkStart w:name="z140" w:id="110"/>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29 декабря 2023 года № 98 "Об утверждении Правил осуществления, приостановления, возобновления и прекращения страховых выплат по договору предпенсионного аннуитетного страхования, Требований к договору предпенсионного аннуитетного страхования и допустимого уровня расходов страховой организации на ведение дела по заключаемым договорам предпенсионного аннуитетного страхования, Правил расчета страховой премии по договору предпенсионного аннуитетного страхования" (зарегистрировано в Реестре государственной регистрации нормативных правовых актов под № 33876) следующие изменения:</w:t>
      </w:r>
    </w:p>
    <w:bookmarkEnd w:id="110"/>
    <w:bookmarkStart w:name="z141" w:id="1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приостановления, возобновления и прекращения страховых выплат по договору предпенсионного аннуитетного страхования, утвержденных указанным постановлением:</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43" w:id="112"/>
    <w:p>
      <w:pPr>
        <w:spacing w:after="0"/>
        <w:ind w:left="0"/>
        <w:jc w:val="both"/>
      </w:pPr>
      <w:r>
        <w:rPr>
          <w:rFonts w:ascii="Times New Roman"/>
          <w:b w:val="false"/>
          <w:i w:val="false"/>
          <w:color w:val="000000"/>
          <w:sz w:val="28"/>
        </w:rPr>
        <w:t>
      "5. Работодатель (страхователь) обращается к страховой организации с заявлением на осуществление страховых выплат в пользу работника в течение 7 (семи) рабочих дней после внесения в информационную систему уполномоченного органа по труду информации о прекращении трудового договора либо об изменениях условий трудового договора.</w:t>
      </w:r>
    </w:p>
    <w:bookmarkEnd w:id="112"/>
    <w:bookmarkStart w:name="z144" w:id="113"/>
    <w:p>
      <w:pPr>
        <w:spacing w:after="0"/>
        <w:ind w:left="0"/>
        <w:jc w:val="both"/>
      </w:pPr>
      <w:r>
        <w:rPr>
          <w:rFonts w:ascii="Times New Roman"/>
          <w:b w:val="false"/>
          <w:i w:val="false"/>
          <w:color w:val="000000"/>
          <w:sz w:val="28"/>
        </w:rPr>
        <w:t>
      Заявление на осуществление страховых выплат представляется работодателем (страхователем) страховой организации, с которым у работодателя (страхователя) имеется действующий на дату подачи заявления договор обязательного страхования работника от несчастных случаев при исполнении им трудовых (служебных) обязанностей.</w:t>
      </w:r>
    </w:p>
    <w:bookmarkEnd w:id="113"/>
    <w:bookmarkStart w:name="z145" w:id="114"/>
    <w:p>
      <w:pPr>
        <w:spacing w:after="0"/>
        <w:ind w:left="0"/>
        <w:jc w:val="both"/>
      </w:pPr>
      <w:r>
        <w:rPr>
          <w:rFonts w:ascii="Times New Roman"/>
          <w:b w:val="false"/>
          <w:i w:val="false"/>
          <w:color w:val="000000"/>
          <w:sz w:val="28"/>
        </w:rPr>
        <w:t>
      При наличии у работодателя 2 (двух) и более действующих на дату подачи заявления договоров обязательного страхования работника от несчастных случаев при исполнении им трудовых (служебных) обязанностей, работодатель (страхователь) по своему выбору обращается к одной страховой организации с заявлением на осуществление страховых выплат.</w:t>
      </w:r>
    </w:p>
    <w:bookmarkEnd w:id="114"/>
    <w:bookmarkStart w:name="z146" w:id="115"/>
    <w:p>
      <w:pPr>
        <w:spacing w:after="0"/>
        <w:ind w:left="0"/>
        <w:jc w:val="both"/>
      </w:pPr>
      <w:r>
        <w:rPr>
          <w:rFonts w:ascii="Times New Roman"/>
          <w:b w:val="false"/>
          <w:i w:val="false"/>
          <w:color w:val="000000"/>
          <w:sz w:val="28"/>
        </w:rPr>
        <w:t>
      6. После получения заявления на осуществление страховых выплат и при наличии уведомления из информационной системы уполномоченного органа по труду о соответствии работника условиям получения страховой выплаты, между страховой организацией и работодателем (страхователем) заключается договор предпенсионного аннуитета в пользу работника.</w:t>
      </w:r>
    </w:p>
    <w:bookmarkEnd w:id="115"/>
    <w:bookmarkStart w:name="z147" w:id="116"/>
    <w:p>
      <w:pPr>
        <w:spacing w:after="0"/>
        <w:ind w:left="0"/>
        <w:jc w:val="both"/>
      </w:pPr>
      <w:r>
        <w:rPr>
          <w:rFonts w:ascii="Times New Roman"/>
          <w:b w:val="false"/>
          <w:i w:val="false"/>
          <w:color w:val="000000"/>
          <w:sz w:val="28"/>
        </w:rPr>
        <w:t>
      Уведомление из информационной системы уполномоченного органа по труду, помимо информации о соответствии работника условиям получения страховой выплаты, содержит следующие сведения о получателе: фамилия, имя, отчество (при его наличии), дата рождения, номер, дата выдачи, срок выдачи и орган выдачи документа, удостоверяющего личность, индивидуальный идентификационный номер, а также признак резидентства (резидент/нерезидент), место жительства и номер мобильного телефона.";</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50" w:id="117"/>
    <w:p>
      <w:pPr>
        <w:spacing w:after="0"/>
        <w:ind w:left="0"/>
        <w:jc w:val="both"/>
      </w:pPr>
      <w:r>
        <w:rPr>
          <w:rFonts w:ascii="Times New Roman"/>
          <w:b w:val="false"/>
          <w:i w:val="false"/>
          <w:color w:val="000000"/>
          <w:sz w:val="28"/>
        </w:rPr>
        <w:t>
      "9. Страховые выплаты осуществляются путем ее перечисления страховой организацией в Государственную корпорацию "Правительство для граждан" (далее – Государственная корпорация) с обязательным указанием периода страховых выплат и приложением списка получателей страховых выплат.</w:t>
      </w:r>
    </w:p>
    <w:bookmarkEnd w:id="117"/>
    <w:bookmarkStart w:name="z151" w:id="118"/>
    <w:p>
      <w:pPr>
        <w:spacing w:after="0"/>
        <w:ind w:left="0"/>
        <w:jc w:val="both"/>
      </w:pPr>
      <w:r>
        <w:rPr>
          <w:rFonts w:ascii="Times New Roman"/>
          <w:b w:val="false"/>
          <w:i w:val="false"/>
          <w:color w:val="000000"/>
          <w:sz w:val="28"/>
        </w:rPr>
        <w:t>
      Страховые выплаты перечисляются в Государственную корпорацию ежемесячно не позднее 5 (пятого) рабочего дня месяца, следующего за месяцем, за который осуществляется страховая выплата.</w:t>
      </w:r>
    </w:p>
    <w:bookmarkEnd w:id="118"/>
    <w:bookmarkStart w:name="z152" w:id="119"/>
    <w:p>
      <w:pPr>
        <w:spacing w:after="0"/>
        <w:ind w:left="0"/>
        <w:jc w:val="both"/>
      </w:pPr>
      <w:r>
        <w:rPr>
          <w:rFonts w:ascii="Times New Roman"/>
          <w:b w:val="false"/>
          <w:i w:val="false"/>
          <w:color w:val="000000"/>
          <w:sz w:val="28"/>
        </w:rPr>
        <w:t>
      Государственная корпорация до 10 (десятого) рабочего дня месяца перечисляет деньги на счет получателя.</w:t>
      </w:r>
    </w:p>
    <w:bookmarkEnd w:id="119"/>
    <w:bookmarkStart w:name="z153" w:id="120"/>
    <w:p>
      <w:pPr>
        <w:spacing w:after="0"/>
        <w:ind w:left="0"/>
        <w:jc w:val="both"/>
      </w:pPr>
      <w:r>
        <w:rPr>
          <w:rFonts w:ascii="Times New Roman"/>
          <w:b w:val="false"/>
          <w:i w:val="false"/>
          <w:color w:val="000000"/>
          <w:sz w:val="28"/>
        </w:rPr>
        <w:t>
      Государственная корпорация не позднее последнего рабочего дня месяца переводит страховой организации излишне зачисленные (выплаченные) суммы страховых выплат, поступившие в Государственную корпорацию.";</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55" w:id="121"/>
    <w:p>
      <w:pPr>
        <w:spacing w:after="0"/>
        <w:ind w:left="0"/>
        <w:jc w:val="both"/>
      </w:pPr>
      <w:r>
        <w:rPr>
          <w:rFonts w:ascii="Times New Roman"/>
          <w:b w:val="false"/>
          <w:i w:val="false"/>
          <w:color w:val="000000"/>
          <w:sz w:val="28"/>
        </w:rPr>
        <w:t>
      "11. Ежемесячный размер страховой выплаты составляет одну величину прожиточного минимума, установленную на соответствующий финансовый год законом о республиканском бюджете.</w:t>
      </w:r>
    </w:p>
    <w:bookmarkEnd w:id="121"/>
    <w:bookmarkStart w:name="z156" w:id="122"/>
    <w:p>
      <w:pPr>
        <w:spacing w:after="0"/>
        <w:ind w:left="0"/>
        <w:jc w:val="both"/>
      </w:pPr>
      <w:r>
        <w:rPr>
          <w:rFonts w:ascii="Times New Roman"/>
          <w:b w:val="false"/>
          <w:i w:val="false"/>
          <w:color w:val="000000"/>
          <w:sz w:val="28"/>
        </w:rPr>
        <w:t>
      Страховая выплата осуществляется с учетом изменения величины прожиточного минимума, установленной на соответствующий финансовый год законом о республиканском бюджете.</w:t>
      </w:r>
    </w:p>
    <w:bookmarkEnd w:id="122"/>
    <w:bookmarkStart w:name="z157" w:id="123"/>
    <w:p>
      <w:pPr>
        <w:spacing w:after="0"/>
        <w:ind w:left="0"/>
        <w:jc w:val="both"/>
      </w:pPr>
      <w:r>
        <w:rPr>
          <w:rFonts w:ascii="Times New Roman"/>
          <w:b w:val="false"/>
          <w:i w:val="false"/>
          <w:color w:val="000000"/>
          <w:sz w:val="28"/>
        </w:rPr>
        <w:t>
      Страховая выплата за первый месяц определяется исходя из размера одного прожиточного минимума, рассчитанного пропорционально количеству календарных дней, со дня получения заявления на осуществление страховых выплат до окончания соответствующего месяца.</w:t>
      </w:r>
    </w:p>
    <w:bookmarkEnd w:id="123"/>
    <w:bookmarkStart w:name="z158" w:id="124"/>
    <w:p>
      <w:pPr>
        <w:spacing w:after="0"/>
        <w:ind w:left="0"/>
        <w:jc w:val="both"/>
      </w:pPr>
      <w:r>
        <w:rPr>
          <w:rFonts w:ascii="Times New Roman"/>
          <w:b w:val="false"/>
          <w:i w:val="false"/>
          <w:color w:val="000000"/>
          <w:sz w:val="28"/>
        </w:rPr>
        <w:t>
      Список получателей страховых выплат в первый месяц формируется страховой организацией на основании уведомления от информационной системы уполномоченного органа по труду в последний рабочий день каждого месяца.";</w:t>
      </w:r>
    </w:p>
    <w:bookmarkEnd w:id="124"/>
    <w:bookmarkStart w:name="z159" w:id="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договору предпенсионного аннуитетного страхования и допустимом уровне расходов страховой организации на ведение дела по заключаемым договорам предпенсионного аннуитетного страхования, утвержденных указанным постановлением:</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61" w:id="126"/>
    <w:p>
      <w:pPr>
        <w:spacing w:after="0"/>
        <w:ind w:left="0"/>
        <w:jc w:val="both"/>
      </w:pPr>
      <w:r>
        <w:rPr>
          <w:rFonts w:ascii="Times New Roman"/>
          <w:b w:val="false"/>
          <w:i w:val="false"/>
          <w:color w:val="000000"/>
          <w:sz w:val="28"/>
        </w:rPr>
        <w:t>
      "3. Договор предпенсионного аннуитета заключается при наличии согласия работника на сбор и обработку персональных данных.</w:t>
      </w:r>
    </w:p>
    <w:bookmarkEnd w:id="126"/>
    <w:bookmarkStart w:name="z162" w:id="127"/>
    <w:p>
      <w:pPr>
        <w:spacing w:after="0"/>
        <w:ind w:left="0"/>
        <w:jc w:val="both"/>
      </w:pPr>
      <w:r>
        <w:rPr>
          <w:rFonts w:ascii="Times New Roman"/>
          <w:b w:val="false"/>
          <w:i w:val="false"/>
          <w:color w:val="000000"/>
          <w:sz w:val="28"/>
        </w:rPr>
        <w:t xml:space="preserve">
      Страховая организация обеспечивает получение согласия работника на сбор и обработку персональных данных способами,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(далее – Закон о персональных данных).</w:t>
      </w:r>
    </w:p>
    <w:bookmarkEnd w:id="127"/>
    <w:bookmarkStart w:name="z163" w:id="128"/>
    <w:p>
      <w:pPr>
        <w:spacing w:after="0"/>
        <w:ind w:left="0"/>
        <w:jc w:val="both"/>
      </w:pPr>
      <w:r>
        <w:rPr>
          <w:rFonts w:ascii="Times New Roman"/>
          <w:b w:val="false"/>
          <w:i w:val="false"/>
          <w:color w:val="000000"/>
          <w:sz w:val="28"/>
        </w:rPr>
        <w:t xml:space="preserve">
      При отсутствии согласия работника на сбор и обработку персональных данных и (или) уведомления от информационной системы уполномоченного государственного органа по труду о соответствии работника условиям получения страховой выплаты со сведениями, указанными в части второй пункта 6 Правил осуществления, приостановления, возобновления и прекращения страховых выплат по договору предпенсионного аннуитетного страхования, утвержденных </w:t>
      </w:r>
      <w:r>
        <w:rPr>
          <w:rFonts w:ascii="Times New Roman"/>
          <w:b w:val="false"/>
          <w:i w:val="false"/>
          <w:color w:val="000000"/>
          <w:sz w:val="28"/>
        </w:rPr>
        <w:t>приложением 1</w:t>
      </w:r>
      <w:r>
        <w:rPr>
          <w:rFonts w:ascii="Times New Roman"/>
          <w:b w:val="false"/>
          <w:i w:val="false"/>
          <w:color w:val="000000"/>
          <w:sz w:val="28"/>
        </w:rPr>
        <w:t xml:space="preserve"> настоящего Постановления, получение согласия на сбор и обработку персональных данных обеспечивается страховой организацией посредством государственного сервиса контроля доступа к персональным данным согласно </w:t>
      </w:r>
      <w:r>
        <w:rPr>
          <w:rFonts w:ascii="Times New Roman"/>
          <w:b w:val="false"/>
          <w:i w:val="false"/>
          <w:color w:val="000000"/>
          <w:sz w:val="28"/>
        </w:rPr>
        <w:t>Закону</w:t>
      </w:r>
      <w:r>
        <w:rPr>
          <w:rFonts w:ascii="Times New Roman"/>
          <w:b w:val="false"/>
          <w:i w:val="false"/>
          <w:color w:val="000000"/>
          <w:sz w:val="28"/>
        </w:rPr>
        <w:t xml:space="preserve"> о персональных данных через организацию по формированию и ведению единой базы данных по страхованию.</w:t>
      </w:r>
    </w:p>
    <w:bookmarkEnd w:id="128"/>
    <w:bookmarkStart w:name="z164" w:id="129"/>
    <w:p>
      <w:pPr>
        <w:spacing w:after="0"/>
        <w:ind w:left="0"/>
        <w:jc w:val="both"/>
      </w:pPr>
      <w:r>
        <w:rPr>
          <w:rFonts w:ascii="Times New Roman"/>
          <w:b w:val="false"/>
          <w:i w:val="false"/>
          <w:color w:val="000000"/>
          <w:sz w:val="28"/>
        </w:rPr>
        <w:t xml:space="preserve">
      4. Договор предпенсионного аннуитета заключается посредством оформления страхового полиса в порядке, установленном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825 Гражданского кодекса Республики Казахстан в течение 7 (семи) рабочих дней со дня получения страховой организацией от работодателя (страхователя) заявления на осуществление страховых выплат по договору предпенсионного аннуитет и уведомления от информационной системы уполномоченного государственного органа по труду о соответствии работника условиям получения страховой выплаты.</w:t>
      </w:r>
    </w:p>
    <w:bookmarkEnd w:id="129"/>
    <w:bookmarkStart w:name="z165" w:id="130"/>
    <w:p>
      <w:pPr>
        <w:spacing w:after="0"/>
        <w:ind w:left="0"/>
        <w:jc w:val="both"/>
      </w:pPr>
      <w:r>
        <w:rPr>
          <w:rFonts w:ascii="Times New Roman"/>
          <w:b w:val="false"/>
          <w:i w:val="false"/>
          <w:color w:val="000000"/>
          <w:sz w:val="28"/>
        </w:rPr>
        <w:t>
      Срок заключения договора предпенсионного аннуитета, предусмотренный частью первой настоящего пункта, исчисляется в зависимости от того, какая из указанных дат, наступит позже.</w:t>
      </w:r>
    </w:p>
    <w:bookmarkEnd w:id="130"/>
    <w:bookmarkStart w:name="z166" w:id="131"/>
    <w:p>
      <w:pPr>
        <w:spacing w:after="0"/>
        <w:ind w:left="0"/>
        <w:jc w:val="both"/>
      </w:pPr>
      <w:r>
        <w:rPr>
          <w:rFonts w:ascii="Times New Roman"/>
          <w:b w:val="false"/>
          <w:i w:val="false"/>
          <w:color w:val="000000"/>
          <w:sz w:val="28"/>
        </w:rPr>
        <w:t>
      Договор предпенсионного аннуитета считается заключенным со дня подписания страховой организацией страхового полиса.";</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68" w:id="132"/>
    <w:p>
      <w:pPr>
        <w:spacing w:after="0"/>
        <w:ind w:left="0"/>
        <w:jc w:val="both"/>
      </w:pPr>
      <w:r>
        <w:rPr>
          <w:rFonts w:ascii="Times New Roman"/>
          <w:b w:val="false"/>
          <w:i w:val="false"/>
          <w:color w:val="000000"/>
          <w:sz w:val="28"/>
        </w:rPr>
        <w:t>
      "7. Договор предпенсионного аннуитета содержит следующие сведения:</w:t>
      </w:r>
    </w:p>
    <w:bookmarkEnd w:id="132"/>
    <w:bookmarkStart w:name="z169" w:id="133"/>
    <w:p>
      <w:pPr>
        <w:spacing w:after="0"/>
        <w:ind w:left="0"/>
        <w:jc w:val="both"/>
      </w:pPr>
      <w:r>
        <w:rPr>
          <w:rFonts w:ascii="Times New Roman"/>
          <w:b w:val="false"/>
          <w:i w:val="false"/>
          <w:color w:val="000000"/>
          <w:sz w:val="28"/>
        </w:rPr>
        <w:t>
      1) номер, серию договора предпенсионного аннуитета;</w:t>
      </w:r>
    </w:p>
    <w:bookmarkEnd w:id="133"/>
    <w:bookmarkStart w:name="z170" w:id="134"/>
    <w:p>
      <w:pPr>
        <w:spacing w:after="0"/>
        <w:ind w:left="0"/>
        <w:jc w:val="both"/>
      </w:pPr>
      <w:r>
        <w:rPr>
          <w:rFonts w:ascii="Times New Roman"/>
          <w:b w:val="false"/>
          <w:i w:val="false"/>
          <w:color w:val="000000"/>
          <w:sz w:val="28"/>
        </w:rPr>
        <w:t>
      2) наименование, место нахождения, телефон и банковские реквизиты страховой организации;</w:t>
      </w:r>
    </w:p>
    <w:bookmarkEnd w:id="134"/>
    <w:bookmarkStart w:name="z171" w:id="135"/>
    <w:p>
      <w:pPr>
        <w:spacing w:after="0"/>
        <w:ind w:left="0"/>
        <w:jc w:val="both"/>
      </w:pPr>
      <w:r>
        <w:rPr>
          <w:rFonts w:ascii="Times New Roman"/>
          <w:b w:val="false"/>
          <w:i w:val="false"/>
          <w:color w:val="000000"/>
          <w:sz w:val="28"/>
        </w:rPr>
        <w:t>
      3) фамилия, имя, отчество (при его наличии), индивидуальный идентификационный номер, признак резидентства (резидент/нерезидент) и сектора экономики, место жительства страхователя (для физических лиц);</w:t>
      </w:r>
    </w:p>
    <w:bookmarkEnd w:id="135"/>
    <w:bookmarkStart w:name="z172" w:id="136"/>
    <w:p>
      <w:pPr>
        <w:spacing w:after="0"/>
        <w:ind w:left="0"/>
        <w:jc w:val="both"/>
      </w:pPr>
      <w:r>
        <w:rPr>
          <w:rFonts w:ascii="Times New Roman"/>
          <w:b w:val="false"/>
          <w:i w:val="false"/>
          <w:color w:val="000000"/>
          <w:sz w:val="28"/>
        </w:rPr>
        <w:t>
      4) наименование, бизнес-идентификационный номер, признак резидентства (резидент/нерезидент), код сектора экономики, вид экономической деятельности, место нахождения, банковские реквизиты страхователя (для юридических лиц);</w:t>
      </w:r>
    </w:p>
    <w:bookmarkEnd w:id="136"/>
    <w:bookmarkStart w:name="z173" w:id="137"/>
    <w:p>
      <w:pPr>
        <w:spacing w:after="0"/>
        <w:ind w:left="0"/>
        <w:jc w:val="both"/>
      </w:pPr>
      <w:r>
        <w:rPr>
          <w:rFonts w:ascii="Times New Roman"/>
          <w:b w:val="false"/>
          <w:i w:val="false"/>
          <w:color w:val="000000"/>
          <w:sz w:val="28"/>
        </w:rPr>
        <w:t>
      5) указание о застрахованном (выгодоприобретателе) (фамилия, имя, отчество (при его наличии), индивидуальный идентификационный номер, признак резидентства (резидент/нерезидент) и сектора экономики;</w:t>
      </w:r>
    </w:p>
    <w:bookmarkEnd w:id="137"/>
    <w:bookmarkStart w:name="z174" w:id="138"/>
    <w:p>
      <w:pPr>
        <w:spacing w:after="0"/>
        <w:ind w:left="0"/>
        <w:jc w:val="both"/>
      </w:pPr>
      <w:r>
        <w:rPr>
          <w:rFonts w:ascii="Times New Roman"/>
          <w:b w:val="false"/>
          <w:i w:val="false"/>
          <w:color w:val="000000"/>
          <w:sz w:val="28"/>
        </w:rPr>
        <w:t>
      6) сведения о дате выдачи, серии и номере лицензии на право осуществления аннуитетного страхования, выданной страховой организации уполномоченным органом по регулированию, контролю и надзору финансового рынка и финансовых организаций;</w:t>
      </w:r>
    </w:p>
    <w:bookmarkEnd w:id="138"/>
    <w:bookmarkStart w:name="z175" w:id="139"/>
    <w:p>
      <w:pPr>
        <w:spacing w:after="0"/>
        <w:ind w:left="0"/>
        <w:jc w:val="both"/>
      </w:pPr>
      <w:r>
        <w:rPr>
          <w:rFonts w:ascii="Times New Roman"/>
          <w:b w:val="false"/>
          <w:i w:val="false"/>
          <w:color w:val="000000"/>
          <w:sz w:val="28"/>
        </w:rPr>
        <w:t>
      7) сведения о страховом случае;</w:t>
      </w:r>
    </w:p>
    <w:bookmarkEnd w:id="139"/>
    <w:bookmarkStart w:name="z176" w:id="140"/>
    <w:p>
      <w:pPr>
        <w:spacing w:after="0"/>
        <w:ind w:left="0"/>
        <w:jc w:val="both"/>
      </w:pPr>
      <w:r>
        <w:rPr>
          <w:rFonts w:ascii="Times New Roman"/>
          <w:b w:val="false"/>
          <w:i w:val="false"/>
          <w:color w:val="000000"/>
          <w:sz w:val="28"/>
        </w:rPr>
        <w:t>
      8) указание объекта страхования;</w:t>
      </w:r>
    </w:p>
    <w:bookmarkEnd w:id="140"/>
    <w:bookmarkStart w:name="z177" w:id="141"/>
    <w:p>
      <w:pPr>
        <w:spacing w:after="0"/>
        <w:ind w:left="0"/>
        <w:jc w:val="both"/>
      </w:pPr>
      <w:r>
        <w:rPr>
          <w:rFonts w:ascii="Times New Roman"/>
          <w:b w:val="false"/>
          <w:i w:val="false"/>
          <w:color w:val="000000"/>
          <w:sz w:val="28"/>
        </w:rPr>
        <w:t>
      9) размер, порядок и сроки уплаты страховой премии, вид валюты;</w:t>
      </w:r>
    </w:p>
    <w:bookmarkEnd w:id="141"/>
    <w:bookmarkStart w:name="z178" w:id="142"/>
    <w:p>
      <w:pPr>
        <w:spacing w:after="0"/>
        <w:ind w:left="0"/>
        <w:jc w:val="both"/>
      </w:pPr>
      <w:r>
        <w:rPr>
          <w:rFonts w:ascii="Times New Roman"/>
          <w:b w:val="false"/>
          <w:i w:val="false"/>
          <w:color w:val="000000"/>
          <w:sz w:val="28"/>
        </w:rPr>
        <w:t>
      10) размер, порядок и сроки осуществления страховой выплаты, в том числе дата начала и окончания осуществления страховых выплат, вид валюты;</w:t>
      </w:r>
    </w:p>
    <w:bookmarkEnd w:id="142"/>
    <w:bookmarkStart w:name="z179" w:id="143"/>
    <w:p>
      <w:pPr>
        <w:spacing w:after="0"/>
        <w:ind w:left="0"/>
        <w:jc w:val="both"/>
      </w:pPr>
      <w:r>
        <w:rPr>
          <w:rFonts w:ascii="Times New Roman"/>
          <w:b w:val="false"/>
          <w:i w:val="false"/>
          <w:color w:val="000000"/>
          <w:sz w:val="28"/>
        </w:rPr>
        <w:t>
      11) права и обязанности сторон;</w:t>
      </w:r>
    </w:p>
    <w:bookmarkEnd w:id="143"/>
    <w:bookmarkStart w:name="z180" w:id="144"/>
    <w:p>
      <w:pPr>
        <w:spacing w:after="0"/>
        <w:ind w:left="0"/>
        <w:jc w:val="both"/>
      </w:pPr>
      <w:r>
        <w:rPr>
          <w:rFonts w:ascii="Times New Roman"/>
          <w:b w:val="false"/>
          <w:i w:val="false"/>
          <w:color w:val="000000"/>
          <w:sz w:val="28"/>
        </w:rPr>
        <w:t>
      12) территория действия договора предпенсионного аннуитета;</w:t>
      </w:r>
    </w:p>
    <w:bookmarkEnd w:id="144"/>
    <w:bookmarkStart w:name="z181" w:id="145"/>
    <w:p>
      <w:pPr>
        <w:spacing w:after="0"/>
        <w:ind w:left="0"/>
        <w:jc w:val="both"/>
      </w:pPr>
      <w:r>
        <w:rPr>
          <w:rFonts w:ascii="Times New Roman"/>
          <w:b w:val="false"/>
          <w:i w:val="false"/>
          <w:color w:val="000000"/>
          <w:sz w:val="28"/>
        </w:rPr>
        <w:t>
      13) срок действия договора предпенсионного аннуитета;</w:t>
      </w:r>
    </w:p>
    <w:bookmarkEnd w:id="145"/>
    <w:bookmarkStart w:name="z182" w:id="146"/>
    <w:p>
      <w:pPr>
        <w:spacing w:after="0"/>
        <w:ind w:left="0"/>
        <w:jc w:val="both"/>
      </w:pPr>
      <w:r>
        <w:rPr>
          <w:rFonts w:ascii="Times New Roman"/>
          <w:b w:val="false"/>
          <w:i w:val="false"/>
          <w:color w:val="000000"/>
          <w:sz w:val="28"/>
        </w:rPr>
        <w:t>
      14) указание о наличии или отсутствии комиссионного вознаграждения, причитающегося страховому агенту;</w:t>
      </w:r>
    </w:p>
    <w:bookmarkEnd w:id="146"/>
    <w:bookmarkStart w:name="z183" w:id="147"/>
    <w:p>
      <w:pPr>
        <w:spacing w:after="0"/>
        <w:ind w:left="0"/>
        <w:jc w:val="both"/>
      </w:pPr>
      <w:r>
        <w:rPr>
          <w:rFonts w:ascii="Times New Roman"/>
          <w:b w:val="false"/>
          <w:i w:val="false"/>
          <w:color w:val="000000"/>
          <w:sz w:val="28"/>
        </w:rPr>
        <w:t>
      15) подпись страховой организации (в случае оформления страхового полиса в бумажной форме);</w:t>
      </w:r>
    </w:p>
    <w:bookmarkEnd w:id="147"/>
    <w:bookmarkStart w:name="z184" w:id="148"/>
    <w:p>
      <w:pPr>
        <w:spacing w:after="0"/>
        <w:ind w:left="0"/>
        <w:jc w:val="both"/>
      </w:pPr>
      <w:r>
        <w:rPr>
          <w:rFonts w:ascii="Times New Roman"/>
          <w:b w:val="false"/>
          <w:i w:val="false"/>
          <w:color w:val="000000"/>
          <w:sz w:val="28"/>
        </w:rPr>
        <w:t>
      16) дата заключения договора предпенсионного аннуитета.";</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Требованиям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и развития страховой деятельности,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и страховой группы</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p>
        </w:tc>
      </w:tr>
    </w:tbl>
    <w:bookmarkStart w:name="z188" w:id="149"/>
    <w:p>
      <w:pPr>
        <w:spacing w:after="0"/>
        <w:ind w:left="0"/>
        <w:jc w:val="left"/>
      </w:pPr>
      <w:r>
        <w:rPr>
          <w:rFonts w:ascii="Times New Roman"/>
          <w:b/>
          <w:i w:val="false"/>
          <w:color w:val="000000"/>
        </w:rPr>
        <w:t xml:space="preserve"> Таблица увеличения минимального размера маржи платежеспособности от страховых премий, передаваемых (переданных) в перестрахование</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 по международной или национальной шкале (норматив достаточности маржи платежеспособности)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передаваемых (переданных) в перестрахование по действующим договорам перестрахования, всего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страховых премий, передаваемых (переданных) в перестрахование по действующим договорам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(в тысячах тенге) (графа 3 х графа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перестрахования, заключенные с перестраховщиками-нерезидентами Республики Казахстан, за исключением перестраховщиков стран-участниц Договора о Евразийском экономическом союзе, ратифицированного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ратификации Договора о Евразийском экономическом союзе" (далее - Договор о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или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 по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перестраховщиками-резидентами Республики Казахстан, перестраховщиками-участниками Международного финансового центра "Астана"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 или "kzBB"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перестраховщиками-стран-участниц Договора о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в рамках участия в страховом (перестраховочном) пуле, образованном не менее, чем тремя страховыми организациями-нерезидентами Республики Казахстан, зарегистрированными в разных государствах (странах)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перестраховщиками-участниками Международного финансового центра "Астана"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 или "kzBB"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"kzBB-", "kzB+"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и развития страховой</w:t>
            </w:r>
            <w:r>
              <w:br/>
            </w:r>
            <w:r>
              <w:rPr>
                <w:rFonts w:ascii="Times New Roman"/>
                <w:b w:val="false"/>
                <w:i w:val="false"/>
                <w:color w:val="000000"/>
                <w:sz w:val="20"/>
              </w:rPr>
              <w:t>деятельности,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304</w:t>
            </w:r>
          </w:p>
        </w:tc>
      </w:tr>
    </w:tbl>
    <w:bookmarkStart w:name="z191" w:id="150"/>
    <w:p>
      <w:pPr>
        <w:spacing w:after="0"/>
        <w:ind w:left="0"/>
        <w:jc w:val="left"/>
      </w:pPr>
      <w:r>
        <w:rPr>
          <w:rFonts w:ascii="Times New Roman"/>
          <w:b/>
          <w:i w:val="false"/>
          <w:color w:val="000000"/>
        </w:rPr>
        <w:t xml:space="preserve"> Перечень облигаций международных финансовых организаций, приобретаемых страховыми холдингами</w:t>
      </w:r>
    </w:p>
    <w:bookmarkEnd w:id="150"/>
    <w:bookmarkStart w:name="z192" w:id="15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48 Закона Республики Казахстан "О страховой деятельности" страховым холдингам разрешается приобретать облигации, выпущенные следующими международными финансовыми организациями:</w:t>
      </w:r>
    </w:p>
    <w:bookmarkEnd w:id="151"/>
    <w:bookmarkStart w:name="z193" w:id="152"/>
    <w:p>
      <w:pPr>
        <w:spacing w:after="0"/>
        <w:ind w:left="0"/>
        <w:jc w:val="both"/>
      </w:pPr>
      <w:r>
        <w:rPr>
          <w:rFonts w:ascii="Times New Roman"/>
          <w:b w:val="false"/>
          <w:i w:val="false"/>
          <w:color w:val="000000"/>
          <w:sz w:val="28"/>
        </w:rPr>
        <w:t>
      Азиатский банк развития (Asian Development Bank);</w:t>
      </w:r>
    </w:p>
    <w:bookmarkEnd w:id="152"/>
    <w:bookmarkStart w:name="z194" w:id="153"/>
    <w:p>
      <w:pPr>
        <w:spacing w:after="0"/>
        <w:ind w:left="0"/>
        <w:jc w:val="both"/>
      </w:pPr>
      <w:r>
        <w:rPr>
          <w:rFonts w:ascii="Times New Roman"/>
          <w:b w:val="false"/>
          <w:i w:val="false"/>
          <w:color w:val="000000"/>
          <w:sz w:val="28"/>
        </w:rPr>
        <w:t>
      Межамериканский банк развития (Inter-American Development Bank);</w:t>
      </w:r>
    </w:p>
    <w:bookmarkEnd w:id="153"/>
    <w:bookmarkStart w:name="z195" w:id="154"/>
    <w:p>
      <w:pPr>
        <w:spacing w:after="0"/>
        <w:ind w:left="0"/>
        <w:jc w:val="both"/>
      </w:pPr>
      <w:r>
        <w:rPr>
          <w:rFonts w:ascii="Times New Roman"/>
          <w:b w:val="false"/>
          <w:i w:val="false"/>
          <w:color w:val="000000"/>
          <w:sz w:val="28"/>
        </w:rPr>
        <w:t>
      Африканский банк развития (African Development Bank);</w:t>
      </w:r>
    </w:p>
    <w:bookmarkEnd w:id="154"/>
    <w:bookmarkStart w:name="z196" w:id="155"/>
    <w:p>
      <w:pPr>
        <w:spacing w:after="0"/>
        <w:ind w:left="0"/>
        <w:jc w:val="both"/>
      </w:pPr>
      <w:r>
        <w:rPr>
          <w:rFonts w:ascii="Times New Roman"/>
          <w:b w:val="false"/>
          <w:i w:val="false"/>
          <w:color w:val="000000"/>
          <w:sz w:val="28"/>
        </w:rPr>
        <w:t>
      Евразийский банк развития (Eurasian Development Bank);</w:t>
      </w:r>
    </w:p>
    <w:bookmarkEnd w:id="155"/>
    <w:bookmarkStart w:name="z197" w:id="156"/>
    <w:p>
      <w:pPr>
        <w:spacing w:after="0"/>
        <w:ind w:left="0"/>
        <w:jc w:val="both"/>
      </w:pPr>
      <w:r>
        <w:rPr>
          <w:rFonts w:ascii="Times New Roman"/>
          <w:b w:val="false"/>
          <w:i w:val="false"/>
          <w:color w:val="000000"/>
          <w:sz w:val="28"/>
        </w:rPr>
        <w:t>
      Европейский инвестиционный банк (European Investment Bank);</w:t>
      </w:r>
    </w:p>
    <w:bookmarkEnd w:id="156"/>
    <w:bookmarkStart w:name="z198" w:id="157"/>
    <w:p>
      <w:pPr>
        <w:spacing w:after="0"/>
        <w:ind w:left="0"/>
        <w:jc w:val="both"/>
      </w:pPr>
      <w:r>
        <w:rPr>
          <w:rFonts w:ascii="Times New Roman"/>
          <w:b w:val="false"/>
          <w:i w:val="false"/>
          <w:color w:val="000000"/>
          <w:sz w:val="28"/>
        </w:rPr>
        <w:t>
      Европейский банк реконструкции и развития (European Bank for Reconstruction and Development);</w:t>
      </w:r>
    </w:p>
    <w:bookmarkEnd w:id="157"/>
    <w:bookmarkStart w:name="z199" w:id="158"/>
    <w:p>
      <w:pPr>
        <w:spacing w:after="0"/>
        <w:ind w:left="0"/>
        <w:jc w:val="both"/>
      </w:pPr>
      <w:r>
        <w:rPr>
          <w:rFonts w:ascii="Times New Roman"/>
          <w:b w:val="false"/>
          <w:i w:val="false"/>
          <w:color w:val="000000"/>
          <w:sz w:val="28"/>
        </w:rPr>
        <w:t>
      Исламский банк развития (Islamic Development Bank);</w:t>
      </w:r>
    </w:p>
    <w:bookmarkEnd w:id="158"/>
    <w:bookmarkStart w:name="z200" w:id="159"/>
    <w:p>
      <w:pPr>
        <w:spacing w:after="0"/>
        <w:ind w:left="0"/>
        <w:jc w:val="both"/>
      </w:pPr>
      <w:r>
        <w:rPr>
          <w:rFonts w:ascii="Times New Roman"/>
          <w:b w:val="false"/>
          <w:i w:val="false"/>
          <w:color w:val="000000"/>
          <w:sz w:val="28"/>
        </w:rPr>
        <w:t>
      Банк международных расчетов (Bank for International Settlements);</w:t>
      </w:r>
    </w:p>
    <w:bookmarkEnd w:id="159"/>
    <w:bookmarkStart w:name="z201" w:id="160"/>
    <w:p>
      <w:pPr>
        <w:spacing w:after="0"/>
        <w:ind w:left="0"/>
        <w:jc w:val="both"/>
      </w:pPr>
      <w:r>
        <w:rPr>
          <w:rFonts w:ascii="Times New Roman"/>
          <w:b w:val="false"/>
          <w:i w:val="false"/>
          <w:color w:val="000000"/>
          <w:sz w:val="28"/>
        </w:rPr>
        <w:t>
      Международный банк реконструкции и развития (International Bank for Reconstruction and Development);</w:t>
      </w:r>
    </w:p>
    <w:bookmarkEnd w:id="160"/>
    <w:bookmarkStart w:name="z202" w:id="161"/>
    <w:p>
      <w:pPr>
        <w:spacing w:after="0"/>
        <w:ind w:left="0"/>
        <w:jc w:val="both"/>
      </w:pPr>
      <w:r>
        <w:rPr>
          <w:rFonts w:ascii="Times New Roman"/>
          <w:b w:val="false"/>
          <w:i w:val="false"/>
          <w:color w:val="000000"/>
          <w:sz w:val="28"/>
        </w:rPr>
        <w:t>
      Международная финансовая корпорация (International Finance Corporation).</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и развития страховой</w:t>
            </w:r>
            <w:r>
              <w:br/>
            </w:r>
            <w:r>
              <w:rPr>
                <w:rFonts w:ascii="Times New Roman"/>
                <w:b w:val="false"/>
                <w:i w:val="false"/>
                <w:color w:val="000000"/>
                <w:sz w:val="20"/>
              </w:rPr>
              <w:t>деятельности,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Требованиям к договору</w:t>
            </w:r>
            <w:r>
              <w:br/>
            </w:r>
            <w:r>
              <w:rPr>
                <w:rFonts w:ascii="Times New Roman"/>
                <w:b w:val="false"/>
                <w:i w:val="false"/>
                <w:color w:val="000000"/>
                <w:sz w:val="20"/>
              </w:rPr>
              <w:t>предпенсионного аннуитетного</w:t>
            </w:r>
            <w:r>
              <w:br/>
            </w:r>
            <w:r>
              <w:rPr>
                <w:rFonts w:ascii="Times New Roman"/>
                <w:b w:val="false"/>
                <w:i w:val="false"/>
                <w:color w:val="000000"/>
                <w:sz w:val="20"/>
              </w:rPr>
              <w:t>страхования и допустимый</w:t>
            </w:r>
            <w:r>
              <w:br/>
            </w:r>
            <w:r>
              <w:rPr>
                <w:rFonts w:ascii="Times New Roman"/>
                <w:b w:val="false"/>
                <w:i w:val="false"/>
                <w:color w:val="000000"/>
                <w:sz w:val="20"/>
              </w:rPr>
              <w:t>уровень расходов страховой</w:t>
            </w:r>
            <w:r>
              <w:br/>
            </w:r>
            <w:r>
              <w:rPr>
                <w:rFonts w:ascii="Times New Roman"/>
                <w:b w:val="false"/>
                <w:i w:val="false"/>
                <w:color w:val="000000"/>
                <w:sz w:val="20"/>
              </w:rPr>
              <w:t>организации на ведение дела</w:t>
            </w:r>
            <w:r>
              <w:br/>
            </w:r>
            <w:r>
              <w:rPr>
                <w:rFonts w:ascii="Times New Roman"/>
                <w:b w:val="false"/>
                <w:i w:val="false"/>
                <w:color w:val="000000"/>
                <w:sz w:val="20"/>
              </w:rPr>
              <w:t>по заключаемым договорам</w:t>
            </w:r>
            <w:r>
              <w:br/>
            </w:r>
            <w:r>
              <w:rPr>
                <w:rFonts w:ascii="Times New Roman"/>
                <w:b w:val="false"/>
                <w:i w:val="false"/>
                <w:color w:val="000000"/>
                <w:sz w:val="20"/>
              </w:rPr>
              <w:t>предпенсионного аннуитетного</w:t>
            </w:r>
            <w:r>
              <w:br/>
            </w:r>
            <w:r>
              <w:rPr>
                <w:rFonts w:ascii="Times New Roman"/>
                <w:b w:val="false"/>
                <w:i w:val="false"/>
                <w:color w:val="000000"/>
                <w:sz w:val="20"/>
              </w:rPr>
              <w:t>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работника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работника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работника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работника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страховой организации (12 символов)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наименование страховой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страхователя (работодателя) (12 символов)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наименование страхователя (работодателя)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предпенсионного аннуитета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предпенсионного аннуитета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договора (1-основной/2-обновленный)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страховой выплаты по договору предпенсионного аннуитета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страховых выплат по договору предпенсионного аннуитета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страховой выплаты по договору предпенсионного аннуитета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изменения условий договора предпенсионного аннуитета (прекращение/расторжение)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 условий договора предпенсионного аннуитета</w:t>
            </w:r>
          </w:p>
          <w:p>
            <w:pPr>
              <w:spacing w:after="20"/>
              <w:ind w:left="20"/>
              <w:jc w:val="both"/>
            </w:pPr>
            <w:r>
              <w:rPr>
                <w:rFonts w:ascii="Times New Roman"/>
                <w:b w:val="false"/>
                <w:i w:val="false"/>
                <w:color w:val="000000"/>
                <w:sz w:val="20"/>
              </w:rPr>
              <w:t>(прекращен с __.__.____ г./расторгнут с __.__.____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 случай изменения условий договора предпенсионного аннуитета (причины прекращения /расторжения)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