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da7e" w14:textId="6a8d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5 апреля 2022 года № 132 "Об утверждении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18 сентября 2024 года № 265. Зарегистрирован в Министерстве юстиции Республики Казахстан 20 сентября 2024 года № 35099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апреля 2022 года № 132 "Об утверждении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образования" (зарегистрирован в Реестре государственной регистрации нормативных правовых актов под № 27415)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соответствие картографическим материалам Национального фонда пространственных данных,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Требования к учебнику и учебно-методическим комплексам в электронной форме, наряду с пунктами 1–20 настоящих Требований, дополнительно включают следующие положения: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понятного (дружественного) интерфейса;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инструментов обратной связи и контроля;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навигационных подсказок;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мультимедийного контента и интерактивных заданий;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снабжение ключевых тем, понятий и терминов гиперссылками на пояснения и словари;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изложение информации в вертикальной ориентации, прокручиваемой HTML страницы;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функционирование на распространенных компьютерных и мобильных устройствах и их актуальных операционных системах (Windows (Уиндоус), Mac OS (Мак ОС), Android (Андроид), IOS (Ай ОС));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распространенными бесплатными браузерами или читающими программами, в том числе на внешних носителях информации;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необходимости в установке дополнительных плагинов для воспроизведения аудио- и видеоматериала;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контента на электронных образовательных платформах с онлайн доступом и на внешних носителях информации с офлайн доступом;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безопасного хранения и пользования персональных данных педагогов, обучающихся и (или) родителей, использующих электронные учебники и учебно-методические комплексы в онлайн-режиме,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соответствие текстовой информации нормам электронной типографики;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использование формата, обеспечивающего возможность поиска и копирования фрагментов текста средствами веб-обозревателя и соответствующего различным расширениям электронных документов;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масштабирования (увеличение и уменьшение) шрифта и (или) страницы (экрана);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использование формата изображения, соответствующего общедоступным расширениям;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выполнение иллюстрации в векторном или растровом формате;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размеры изображений (карт, схем, таблиц, графиков, чертежей) не менее 300 пикселей по одной из сторон и выполнены в общедоступном формате;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соответствие формата видеоматериала общедоступным расширениям;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разрешение видеоматериала не менее 1280x720, соотношение сторон 16:9;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полное заполнение видеоматериалом поля экрана;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выполнение аудиоматериала в форматах AAC, AC3, OGG, Mp3, Мр4, каналы воспроизведения – 2 (стерео);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наличие материалов для уровневой дифференциации, индивидуализации и персонализации обучения;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наличие элементов геймификации;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наличие дидактических материалов с виртуальной лабораторией по естественно-научным предметам.".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