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21b6" w14:textId="37a2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субъекту предпринимательства для заключения партнерского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9 апреля 2024 года № 214/НҚ. Зарегистрирован в Министерстве юстиции Республики Казахстан 11 апреля 2024 года № 34250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11-2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субъекту предпринимательства для заключения партнерского соглашения.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214/НҚ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субъекту предпринимательства для заключения партнерского соглашения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Субъекты предпринимательства для заключения партнерского соглашения обеспечивают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защите",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832, в части обеспечения защиты персональных данных физических лиц и иной информации, доступ к которым ограничен, а также уровня защищенности государственных и негосударственных электронных информационных ресурсов, программного обеспечения, информационных систем и поддерживающей их информационно-коммуникационной инфраструктуры.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Помещения (при наличии) субъектов предпринимательства для заключения партнерского соглашения должны соответствовать условиям и требованиям, применяемым к помещениям Государственной корпорации "Правительство для граждан" (далее – Государственная корпорация), изложенным в Правилах деятельности Государственной корпорации "Правительство для граждан",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за № 13248).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предпринимательства для заключения партнерского соглашения обеспечивают оснащение своих помещений (при наличии) визуальным наблюдением с помощью фото- и видеокамер. При наличии системы видеонаблюдения у входа размещается предупредительная вывеска о наличии системы видеонаблюдения.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в сфере оказания государственных услуг при отборе субъектов предпринимательства для заключения партнерского соглашения учитывается письменное подтверждение Государственной корпорации о соответствии требованиям, установленным пунктами 2 и 3 настоящих требований к субъекту предпринимательства для заключения партнерского соглашения.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Субъектами предпринимательства для заключения партнерского соглашения не могут быть субъекты предпринимательства, находящиеся в процессе добровольной либо принудительной ликвидации, бездействующие и субъекты предпринимательства, имеющие просроченные налоговые задолженности, учет по которым ведется в органах государственных доходов.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