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fbc4" w14:textId="9bc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финансов Республики Казахстан от 5 апреля 2024 года № 184. Зарегистрирован в Министерстве юстиции Республики Казахстан 5 апреля 2024 года № 34230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которая определяет порядок ввода данных объектов учета и сроков проведения инвентаризации, паспортизации и переоценки государственного имущества для включения в Реестр государственного имущества (далее - Реестр).";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составляют электронный отчет посредством Сервиса. В результате работы с Сервисом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годовой финансовой отчетностью государственных учреждений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468, которые подписываются электронной цифровой подписью государственного юридического лица, выданной национальным удостоверяющим центром;";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сверки данных электронного отчета государственного юридического лица в отношении недвижимого имущества с данными государственного органа, осуществляющего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имущества, выявляется недвижимое имущество: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прошедшее государственную регистрацию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(далее – Закон), в том числе вновь созданное;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порядке, установленном главой 4 Закона, в отношении которого, осуществлена реконструкция, перепланировка, изменение состава объекта или назначения и не прошедшее последующее государственное техническое обследование;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на балансе и не имеющее правоустанавливающих документов, для дальнейшего закрепления (за исключением полученного в финансовую аренду) за государственными юридическими лицами.";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предприятия, в случае выбора в учетной политике модели учета по переоцененной стоимости, проводят переоценку имущества в соответствии со стандартами финансовой отчетности,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Единой методике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 (зарегистрирован в Реестре государственной регистрации нормативных правовых актов под № 11054) следующие изменения и дополнения: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форму и объем передачи данных в реестр государственного имущества объектов информатизации, принадлежащих государству в виде электронных информационных ресурсов, согласно приложению 12-1 к настоящему приказу;";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проведение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</w:t>
      </w:r>
      <w:r>
        <w:br/>
      </w:r>
      <w:r>
        <w:rPr>
          <w:rFonts w:ascii="Times New Roman"/>
          <w:b/>
          <w:i w:val="false"/>
          <w:color w:val="000000"/>
        </w:rPr>
        <w:t>паспортизации и переоценки имущества по состоянию на 31 декабря 20__года"</w:t>
      </w:r>
    </w:p>
    <w:bookmarkEnd w:id="30"/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ежегодно, не позднее 1 мая года,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юридического лица: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организации: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(столбец 3-столбец 4- столбец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(+/-)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после переоценки (столбец 6 + столбец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имеются технические паспорта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проведена паспортизация в отчетном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требуется проведение паспортизации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искусственные 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Объекты информатизации, принадлежащие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информационные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 информационно-коммуникационная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Долгосрочные активы, предназначенные для 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данный пункт не обязателен для заполнения государственными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 указанием информации по проведенной паспортизации;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отражается по кадастровой (оценочной) стоимости земельного участка, определенной Государственной корпорацией "Правительство для граждан" (далее – ПДГ) или автоматически рассчитанной в реестре государственного имущества по аналогии с порядком, установленным ПДГ;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данная позиция не подлежит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 паспортизации</w:t>
      </w:r>
      <w:r>
        <w:br/>
      </w:r>
      <w:r>
        <w:rPr>
          <w:rFonts w:ascii="Times New Roman"/>
          <w:b/>
          <w:i w:val="false"/>
          <w:color w:val="000000"/>
        </w:rPr>
        <w:t>и переоценки имущества по состоянию на 31 декабря 20___ года"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 декабря 20 ___ года (далее – Форма).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указаны типы имущества.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количество имущества.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первоначальная стоимость имущества, первоначально признанная при постановке на баланс.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износ имущества, накопленный за период пользования.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сумма, на которую балансовая стоимость имущества превышает его возмещаемую стоимость.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7 Формы указывается сумма переоценки.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Формы указывается балансовая стоимость после переоценки (столбец 6 + столбец 7).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Формы указывается количество объектов, по которым имеются технические паспорта.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Формы указывается количество объектов, по которым проведена паспортизация в отчетном году.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11 Формы указывается количество объектов, по которым требуется проведение паспортизации.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форме и объему передачи данных в реестр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по объектам информатизации, принадлежащих государству в виде электронных информационных ресурсов"</w:t>
      </w:r>
    </w:p>
    <w:bookmarkEnd w:id="49"/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________20___года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1-ЭИР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все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 их подведомственные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 (одного) рабочего дня после поступления запроса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1. Укажите сведения по объекту информатизации, принадлежащего государству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электронных информационных ресурсов (далее – государственная база данных):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1.1. Первичные данные по исходному коду, используемых библиотек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программных(ой) платформ(ы):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собственника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назначения 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 программной платформы /файла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Мегабайт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Хэш-сумма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Паспортные данные к съемному носителю с полной резервной копией базы данных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собственника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Мегабайт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базами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управления базами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резервной копии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Хэш-сумма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Данные по интеграции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интеграционной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интегрируемого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/ планируемая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модуля интеграции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подключения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запросов (пакетов)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форме и объему передачи данных в реестр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по объектам информатизации, принадлежащих государству в виде электронных информационных ресурсов"</w:t>
      </w:r>
      <w:r>
        <w:br/>
      </w:r>
      <w:r>
        <w:rPr>
          <w:rFonts w:ascii="Times New Roman"/>
          <w:b/>
          <w:i w:val="false"/>
          <w:color w:val="000000"/>
        </w:rPr>
        <w:t>(Индекс: 1-ЭИР)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"Реестр государственного имущества" (далее – ГосРеестр) и информационными системами государственных органов осуществляются в следующем порядке: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резервная копия государственной базы данных предоставляется на съемных носителях.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государственной базы данных осуществляется через прямую интеграцию ГосРеестра с соответствующей информационной системой, используемой государственным органом, посредством электронных сообщений в режиме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предоставляются в ГосРеестр электронные информационные ресурсы, содержащие сведения, составляющие государственные секреты, и конфиденциальные.</w:t>
      </w:r>
    </w:p>
    <w:bookmarkEnd w:id="61"/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первичных данных по исходному коду, используемых библиотек и программных(ой) платформ(ы):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собственника, владеющего на праве собственности государственной базой данных;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собственника государственной базой данных;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владельца, которому собственник предоставил права владения и пользования государственной базой данных;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владельца государственной базой данных;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информационной системы;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краткое описание назначение информационной системы;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маркировка диска;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наименование каталога на диске;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наименование библиотек/программной платформы/файла;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размер, Мегабайт;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язык программирования;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версия библиотеки;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хэш-сумма.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паспортных данных к съемному носителю с полной резервной копией базы данных: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собственника, владеющего на праве собственности государственной базой данных;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собственника государственной базой данных;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владельца, которому собственник предоставил права владения и пользования государственной базой данных;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бизнес-идентификационный номер владельца государственной базой данных;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маркировка диска;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каталога на диске;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файла;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размер, Мегабайт;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система управления базами данных;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версия управления базами данных;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дата создания резервной копии;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хэш-сумма.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данных по интеграции: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интеграционной связи;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собственник или владелец интегрируемого объекта;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действующая либо планируемая интеграция;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наличие модуля интеграции;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адрес точки подключения;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протокол подключения;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максимальное количество запросов (пакетов) в секунду;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максимальное время ожидания между запросами.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передачи данных в реестр государственного имущества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обеспечивающий предоставление и (или) доступ данных по формам и объему в реестр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имущества, закрепленного за государственными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прав на недвижимое имущество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земельным участкам, находящимся в землепользовании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реализационные функции в сфере управления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отнесенным к областному коммунальному имуществу;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государственный орган, уполномоченный местным исполнительным органом области, городов республиканского значения, столицы на распоряжение областным коммунальным имуществом; распоряжение областным коммунальным имуществом;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отнесенным к районному коммунальному имуществу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государственный орган, уполномоченный местным исполнительным органом района, города областного значения на распоряжение районным коммунальным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национального культурного достояния, принадлежащим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в области культуры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интеллектуальной собственности, принадлежащим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политику в области охраны и защиты прав интеллектуальной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государственным юридическим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регистрацию юридических лиц, являющихся некоммерческими организациями, учетную регистрацию их филиалов и представительств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транспорта и коммуникаций, а также в пределах, предусмотренных законодательством - межотраслевую координацию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пределах своей компетенции межотраслевую координацию в сфере обеспечения безопасности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столицы, районов и городов областного значения, осуществляющие функции государственной технической инспекции в области развития агропромышленного комплекса.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лицензиям и разрешениям, выданным государственным юридическим лицам и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лицензирование отдельных видов деятельности, подлежащих лицензированию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кадастров природных ресурсов,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-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информатизации, принадлежащих государству в виде электронных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органы - в отношении объектов информатизации, принадлежащих государству в виде электронных информационных ресурсов (государственных баз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поступления запроса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