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64bc" w14:textId="5be6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марта 2024 года № 199. Зарегистрирован в Министерстве юстиции Республики Казахстан 6 марта 2024 года № 34119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 (зарегистрирован в Реестре государственной регистрации нормативных правовых актов № 21281)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 за исключением иностранных граждан.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Гарантийного письма импортера товара о том, что гражданское и служебное оружие, его основные (составные) части и патроны к нему, будут реализованы пользователям,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контроле за оборотом отдельных видов оружия" (далее – Закон), за исключением подпунктов 1) и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письмо импортера товара о том, что гражданское и служебное оружие, его основные (составные) части и патроны к нему, будут реализованы пользователям,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за исключением подпунктов 1) и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нему, утвержденных указанным приказом: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 за исключением иностранных граждан.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нему, утвержденных указанным приказом: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нему, утвержденных указанным приказом: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на открытие и функционирование стрелковых тиров (стрельбищ) и стендов, утвержденных указанным приказом: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