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40df6" w14:textId="8840d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Правила по осуществлению замеров выбросов от автомобильных транспортных средств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1 февраля 2023 года № 1/56. Зарегистрировано Департаментом юстиции города Алматы 3 февраля 2023 года № 1716. Утратило силу постановлением акимата города Алматы от 21 февраля 2025 года № 1/191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Алматы от 21.02.2025 </w:t>
      </w:r>
      <w:r>
        <w:rPr>
          <w:rFonts w:ascii="Times New Roman"/>
          <w:b w:val="false"/>
          <w:i w:val="false"/>
          <w:color w:val="ff0000"/>
          <w:sz w:val="28"/>
        </w:rPr>
        <w:t>№ 1/191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9-28) статьи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особом статусе города Алматы" акимат города Алматы ПОСТАНОВЛЯЕТ: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Правила по осуществлению замеров выбросов от автомобильных транспортных средств, согласно приложению к настоящему постановлению.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экологии и окружающей среды города Алматы в установленном законодательством порядке обеспечить: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города Алматы;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интернет–ресурсе акимата города Алматы после его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Алматы Абдыкадырова А.Е.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Алматы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Досаев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февраля 2023 года № 1/56</w:t>
            </w:r>
          </w:p>
        </w:tc>
      </w:tr>
    </w:tbl>
    <w:bookmarkStart w:name="z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по осуществлению замеров выбросов от автомобильных</w:t>
      </w:r>
      <w:r>
        <w:br/>
      </w:r>
      <w:r>
        <w:rPr>
          <w:rFonts w:ascii="Times New Roman"/>
          <w:b/>
          <w:i w:val="false"/>
          <w:color w:val="000000"/>
        </w:rPr>
        <w:t>транспортных средств</w:t>
      </w:r>
    </w:p>
    <w:bookmarkEnd w:id="1"/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по осуществлению замеров выбросов от автомобильных транспортных средств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Экологическим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9-28) статьи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особом статусе города Алматы",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дорожном движении" (далее - Закон) и определяют порядок и условия замеров выбросов от автомобильных транспортных средств.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распространяются на следующие автотранспортные средства, эксплуатируемые в городе Алматы: легковые автомобили категорий М1, автобусы категорий М2 и М3, грузовые автомобили категорий N1, N2 и N3, мотоциклы категории L,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испытательная лаборатория – юридическое лицо или структурное подразделение юридического лица, действующее от его имени, осуществляющее исследования, испытания;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газоанализатор - прибор для непрерывного анализа химического состава отработавших газов двигателя;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дымность - видимая дисперсия жидких и (или) твердых частиц в отработавших газах, образовавшаяся в результате неполного сгорания топлива и испарившегося масла в цилиндрах двигателя, нормируемый показатель, характеризующий степень поглощения светового потока, просвечивающего столб отработавших газов определенной длины;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нормы содержания загрязняющих веществ в отработавших газах двигателя (далее – нормы содержания загрязняющих веществ) - нормы дымности отработавших газов для автотранспортных средств, оснащенных двигателями с принудительной системой зажигания и нормы содержания монооксида углерода (СО), углеводородов (СН) в отработавших газах двигателя с принудительным зажиганием для автотранспортных средств, работающих на бензине и на газовом топливе, утверждаемые настоящими Правилами;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монооксид углерода (СО) – нормируемый компонент, загрязняющее вещество в виде газа без цвета, запаха и вкуса;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измеритель дымности - прибор для измерения степени поглощения светового потока, просвечивающего столб отработавших газов двигателя внутреннего сгорания определенной длины;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отработавшие газы - смесь газов, удаляемая из цилиндров или камер сгорания двигателя через выхлопную трубу автотранспортного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передвижной пост – автотранспортное средство, оснащенное необходимыми приборами и оборудованием для проведения измерений;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специалист по измерениям – сотрудник испытательной лаборатории, осуществляющий измерения;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сертификат о поверке – документ о прохождении метрологической поверки прибора, выданный поверочной аккредитованной лабораторией в соответствии с законодательством об обеспечении единства измерений;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стационарный пост – стационарный объект, оснащенный необходимыми приборами и оборудованием для проведения измерений;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уполномоченный орган - структурное подразделение местного исполнительного органа, осуществляющее функции в сфере государственной экологической политики на территории города Алматы;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углеводороды (СН) - нормируемый компонент, загрязняющее вещество, углеводородная группа соединений (парафины, олефины, нафтены, ароматические углеводороды).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осуществления измерений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Измерения осуществляются на стационарных и передвижных постах.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Стационарные посты города Алматы работают круглосуточно, в том числе в выходные и праздничные дни.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Количество измерений на стационарных и передвижных постах устанавливается в договорах, заключенных между уполномоченным органом и испытательной лабораторией.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Испытательная лаборатория обеспечивает: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стационарные и передвижные посты специалистами по измерениям в соответствии с условиями заключенных договоров;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стационарные и передвижные посты необходимыми приборами и оборудованием для осуществления измерений;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техническое обслуживание приборов согласно инструкциям к ним;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своевременное прохождение поверки приборов в соответствии с законодательством Республики Казахстан об обеспечении единства измерений;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измерений в соответствии с настоящими Правилами;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ведение документации в соответствии с настоящими Правилами;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сбор, обработку и передачу уполномоченному органу результатов измерений.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Специалистом по измерениям выполняется измерение в соответствии с настоящими Правилами, по итогам чего формируется электронный протокол измерений, который хранится в электронном виде, а также заполняется журнал учета автотранспортных средств в электронном формате.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 основании протокола измерений специалист по измерениям сравнивает показания измерений с нормами содержания загрязняющих веществ.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Выбросы в окружающую среду, производимые автотранспортными средствами при их эксплуатации, не должны превышать допустимый уровень, установленный техническими регламентами в сфере охраны окружающей среды. 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Нормы содержания загрязняющих веществ должны соответствовать показателям, предусмотренным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соответствия отработавших газов двигателя автотранспортного средства нормам содержания загрязняющих веществ автотранспортное средство продолжает движение.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случае установления, в результате измерения, превышения норм содержания загрязняющих веществ, в отношении владельца автотранспортного средства принимаются меры в соответствии с частью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334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об административных правонарушениях (далее - Кодекс).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 случае, если превышение норм содержания загрязняющих веществ автотранспортного средства установлено повторно в течение года, в отношении владельца автотранспортного средства принимаются меры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797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Кодекса, </w:t>
      </w:r>
      <w:r>
        <w:rPr>
          <w:rFonts w:ascii="Times New Roman"/>
          <w:b w:val="false"/>
          <w:i w:val="false"/>
          <w:color w:val="000000"/>
          <w:sz w:val="28"/>
        </w:rPr>
        <w:t>статьей 51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ноября 2014 года № 1196 "Об утверждении Правил дорожного движения, Основных положений по допуску транспортных средств к эксплуатации, перечня оперативных и специальных служб, транспорт которых подлежит оборудованию специальными световыми и звуковыми сигналами и окраске по специальным цветографическим схемам".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Устранение причин превышения норм содержания загрязняющих веществ автотранспортного средства подтверждается протоколом измерений испытательной лаборатории, оформленным по итогам измерений, проведенных в соответствии с настоящими Правилами.</w:t>
      </w:r>
    </w:p>
    <w:bookmarkEnd w:id="16"/>
    <w:bookmarkStart w:name="z1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Общие требования к проведению измерений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Содержание монооксида углерода (СО), углеводородов (СН) в отработавших газах автотранспортных средств с бензиновыми и (или) газовыми двигателями в режиме холостого хода на минимальных частотах вращения коленчатого вала двигателя не должно превышать значений,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измерений выполняется при минимальной частоте вращения коленчатого вала двигателя, установленной изготовителем транспортного средства.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Дымность отработавших газов для автотранспортных средств, оснащенных двигателями с воспламенением от сжатия, не должна превышать значений,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При проведении измерения пробег транспортного средства должен быть не менее 3 000 километров. При меньшем пробеге проверка не проводится.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 автотранспортного средства система выпуска отработавших газов должна быть герметична и комплектна (не должно быть видимого отсутствия и повреждений элементов выпускной системы). В случае видимого нарушения целостности и герметичности выпускной системы автотранспортного средства, измерения не проводятся.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Определение экологического класса автотранспортного средства осуществляется в зависимости от страны производителя и от года выпуска автотранспортного средства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Атмосферные условия (температура окружающего воздуха, атмосферное давление, относительная влажность) в месте расположения прибора при проведении измерений определяются эксплуатационными характеристиками применяемых приборов. При атмосферном давлении ниже 86,6 килопаскаль (650 миллиметров ртутного столба) до 80 килопаскаль (600 миллиметров ртутного столба), в горных условиях, применяется коэффициент повышения норм равный К = 1,1.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При измерениях следует применять газоанализаторы, измерители дымности и иные приборы и оборудование соответствующие требованиям ГОСТ 33997-2016 и СТ РК 1433-2017 и имеющие действующие сертификаты о поверке в соответствии с законодательством Республики Казахстан об обеспечении единства измерений.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Перед выполнением измерения необходимо убедиться, что двигатель автотранспортного средства прогрет до температуры не ниже 60 °С по штатному датчику автотранспортного средства.</w:t>
      </w:r>
    </w:p>
    <w:bookmarkEnd w:id="25"/>
    <w:bookmarkStart w:name="z2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Особенности подготовки и проведения измерений автотранспортных</w:t>
      </w:r>
      <w:r>
        <w:br/>
      </w:r>
      <w:r>
        <w:rPr>
          <w:rFonts w:ascii="Times New Roman"/>
          <w:b/>
          <w:i w:val="false"/>
          <w:color w:val="000000"/>
        </w:rPr>
        <w:t>средств, оснащенных двигателем с принудительным зажиганием,</w:t>
      </w:r>
      <w:r>
        <w:br/>
      </w:r>
      <w:r>
        <w:rPr>
          <w:rFonts w:ascii="Times New Roman"/>
          <w:b/>
          <w:i w:val="false"/>
          <w:color w:val="000000"/>
        </w:rPr>
        <w:t>работающих на бензине и (или) газовом топливе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После прогрева двигателя, при осуществлении измерений без использования программного обеспечения, проводятся следующие операции: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устанавливается рычаг коробки передач с ручным или полуавтоматическим переключением в нейтральное положение. Избиратель передачи для автотранспортного средства с автоматической коробкой передач устанавливает в положение "нейтраль" или "паркинг";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затормаживается автотранспортное средство стояночным тормозом;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вводится пробозаборник газоанализатора в выпускную трубу автотранспортного средства на глубину не менее 300 миллиметров от наиболее заглубленной точки среза трубы и проводятся измерения в течение не менее 30 секунд;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регистрируются полученные данные на бумажном носителе.</w:t>
      </w:r>
    </w:p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Проведение измерений с использованием программного обеспечения включает в себя следующее: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перед проведением измерений проверяются и устанавливаются нулевые показания газоанализатора на всех шкалах измерения, кроме О2. Содержание О2 должно быть в пределах, установленных в инструкции (руководстве) по эксплуатации газоанализатора;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устанавливается минимальная частота вращения вала двигателя;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подключается газоанализатор к компьютеру;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запускается программное обеспечение на компьютере;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вводятся в программное обеспечение необходимые данные об автотранспортном средстве;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запускается в программном обеспечении режим измерения и по завершению процедуры измерения программное обеспечение формирует протокол испытаний с результатами измерений;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результаты измерений сообщаются сотруднику полиции для принятия соответствующих мер реагирования согласно Кодексу.</w:t>
      </w:r>
    </w:p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При наличии раздельных выпускных систем у автотранспортного средства измерение следует проводить в каждой из них. За результат измерения принимают максимальные значения нормируемых компонентов.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При наличии комбинированной системы топлива (бензин и газ), измерение следует проводить на каждый вид топлива.</w:t>
      </w:r>
    </w:p>
    <w:bookmarkEnd w:id="30"/>
    <w:bookmarkStart w:name="z33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Особенности подготовки и проведения измерений автотранспортных</w:t>
      </w:r>
      <w:r>
        <w:br/>
      </w:r>
      <w:r>
        <w:rPr>
          <w:rFonts w:ascii="Times New Roman"/>
          <w:b/>
          <w:i w:val="false"/>
          <w:color w:val="000000"/>
        </w:rPr>
        <w:t>средств, оснащенных двигателем с воспламенением от сжатия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После прогрева двигателя, при осуществлении замеров без использования программного обеспечения, проводятся следующие операции: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устанавливается рычаг коробки передач с ручным или полуавтоматическим переключением в нейтральное положение. Избиратель передачи для автотранспортного средства с автоматической коробкой передач устанавливается в положение "нейтраль" или "паркинг";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затормаживается автотранспортное средство стояночным тормозом;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вводится изогнутая трубка измерителя дымности в выпускную трубу автотранспортного средства;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измерение дымности проводится в режиме свободного ускорения;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 работе двигателя в режиме холостого хода на минимальных частотах вращения коленчатого вала равномерно перемещается педаль за 0,5-1,0 секунд до упора. Держится педаль в этом положении 2-3 секунды. После отображения результатов первого замера на датчике приборного блока и готовности измерителя дымности к следующему измерению приступают к выполнению следующего цикла;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циклы свободного ускорения повторяются не менее шести раз;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регистрируется среднеарифметическое значение дымности четырех последних измерений, которое принимается за результат измерения и формируется протокол испытаний с результатами измерений на бумажном носителе.</w:t>
      </w:r>
    </w:p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Проведение измерений с использованием программного обеспечения включает в себя следующее: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измерение дымности проводится в режиме свободного ускорения;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работе двигателя в режиме холостого хода на минимальных частотах вращения коленчатого вала равномерно перемещается педаль за 0,5-1,0 секунд до упора. Держится педаль в этом положении 2-3 секунды. После отображения результатов первого замера на датчике приборного блока, и готовности измерителя дымности к следующему измерению приступают к выполнению следующего цикла;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циклы свободного ускорения повторяются не менее шести раз;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подсоединяются измеритель дымности к компьютеру;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запускается программное обеспечение на компьютере;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вводятся в программное обеспечение необходимые данные об автотранспортном средстве;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скачивается среднеарифметическое значение дымности четырех последних измерений, которое принимается за результат измерения и формируется электронный протокол испытаний с результатами измерений;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результаты измерений сообщаются сотруднику полиции для принятия соответствующих мер реагирования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Кодексу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 осуществлению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замеров выбросов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транспортных средств</w:t>
            </w:r>
          </w:p>
        </w:tc>
      </w:tr>
    </w:tbl>
    <w:bookmarkStart w:name="z37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Классификация автотранспортных средств по категории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Разрешенная максимальная масса*, 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автотранспортного средства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Легковые автомобили (имеющие не более восьми мест для сидения, кроме водителя)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5**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Автобусы (имеющие более восьми мест для сидения, кроме места водителя)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5**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3,5***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Грузовые автомобили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3,5 до 12,0***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12,0***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Мотоциклы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Специальное оборудование, устанавливаемое на специальных автотранспортных средствах, рассматривают как эквивалент груза.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 Сочлененный автобус состоит из двух или более нераздельно скрепленных секций, в которых размещены пассажирские салоны, связанные между собой проходом для свободного перемещения пассажиров; нераздельные секции постоянно скреплены друг с другом и могут быть разделены только с помощью специального оборудования, имеющегося обычно только в мастерских. Сочлененный автобус, состоящий из двух или более нераздельных, но сочлененных секций, рассматривают как одно транспортное средство.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 Для седельных тягачей, предназначенных для буксирования полуприцепов, в качестве разрешенной максимальной массы рассматривают сумму массы тягача в снаряженном состоянии и массы, соответствующей максимальной статической вертикальной нагрузке, передаваемой тягачу от полуприцепа через седельно-сцепное устройство, а также, в случае необходимости, максимальной массы груза тягача.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 осуществлению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замеров выбросов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транспортных средств</w:t>
            </w:r>
          </w:p>
        </w:tc>
      </w:tr>
    </w:tbl>
    <w:bookmarkStart w:name="z39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содержания монооксида углерода (СО), углеводородов (СН) в отработавших газах двигателя с принудительным зажиганием для автотранспортных средств, работающих на бензине и (или) на газовом топливе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и комплектация транспортных средств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Частота вращения коленчатого вала двигателя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СО, объемная доля,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СН, объемная доля, млн-1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 и N, не оснащенные системами нейтрализации отработавших газов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 и N, экологического класса 2 и ниже, оснащенные системами нейтрализации отработавших газов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 и N, экологического класса 3 и выше, оснащенные системами нейтрализации отработавших газов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L, не оснащенные системами нейтрализации отработавших газов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под системой нейтрализации отработавших газов двигателя понимается совокупность компонентов, обеспечивающих снижение выбросов вредных веществ с отработавших газов при работе двигателя;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под экологическим классом автотранспортного средства понимается классификационный код, характеризующий конструкцию транспортного средства или двигателя внутреннего сгорания в зависимости от уровня выбросов, а также уровня требований к системам бортовой диагностики.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 осуществлению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замеров выбросов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транспортных средств</w:t>
            </w:r>
          </w:p>
        </w:tc>
      </w:tr>
    </w:tbl>
    <w:bookmarkStart w:name="z41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дымности отработавших газов для автотранспортных средств,</w:t>
      </w:r>
      <w:r>
        <w:br/>
      </w:r>
      <w:r>
        <w:rPr>
          <w:rFonts w:ascii="Times New Roman"/>
          <w:b/>
          <w:i w:val="false"/>
          <w:color w:val="000000"/>
        </w:rPr>
        <w:t>оснащенных двигателями с принудительной системой зажигания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транспортного средства, экологический класс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двигателя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Дымность, коэффициент поглощения светового потока (k), м-1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М, N, экологические классы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и ниже: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наддува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наддувом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М, N, экологические классы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и выше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под экологическим классом автотранспортного средства понимается классификационный код, характеризующий конструкцию транспортного средства или двигателя внутреннего сгорания в зависимости от уровня выбросов, а также уровня требований к системам бортовой диагностики.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 осуществлению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замеров выбросов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транспортных средств</w:t>
            </w:r>
          </w:p>
        </w:tc>
      </w:tr>
    </w:tbl>
    <w:bookmarkStart w:name="z43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Экологические классы автотранспортного средства в зависимости</w:t>
      </w:r>
      <w:r>
        <w:br/>
      </w:r>
      <w:r>
        <w:rPr>
          <w:rFonts w:ascii="Times New Roman"/>
          <w:b/>
          <w:i w:val="false"/>
          <w:color w:val="000000"/>
        </w:rPr>
        <w:t>от страны производителя и года выпуска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производитель АТС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двигателя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Экологический класс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и 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выпуска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Россия, СНГ, Казахстан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принудительным зажиганием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– 2007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– 2012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– 2015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2016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Дизельный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–2007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– 2012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2013 – 2015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2016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Европейского Союза (ЕС),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принудительным зажиганием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1991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1992 -1995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 – 1999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 – 2004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 – 2009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2010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Дизельный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1991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1992 -1995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 – 1999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 – 2004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– 2009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2010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Япония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принудительным зажиганием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1996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1997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1998-2004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2005-2010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Дизельный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1996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1997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1998-2004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2005-2010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Корея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принудительным зажиганием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2001-2002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2003-2005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2010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Дизельный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2001-2002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2003-2005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2010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принудительным зажиганием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1990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1995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1996-2000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2001-2003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2010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Дизельный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1990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1995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1996-2000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2001-2003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2010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принудительным зажиганием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2004-2007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2008- 2010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2013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Дизельный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2004-2007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2011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