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14f" w14:textId="ab75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объемов бюджетных средств на субсидирование удобрений (за исключением органических удобрений)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апреля 2023 года № 46. Зарегистрировано Департаментом юстиции Мангистауской области 28 апреля 2023 года № 4554-12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 удобрений)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субсидирование удобрений (за исключением органических удобрений)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 хозяйства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46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 удобрений) 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минеральные удобрения ФЕРТИМ (КМУ ФЕРТИМ)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"Биобарс-М" с микроэлементами сложно-смешанное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"Страда"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"Страда"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"Страда"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FORCROP GOLDEN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 № 46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 удобрений) на 2023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 удобрений (за исключением органических удобрений)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