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476c" w14:textId="ffa4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29 ноября 2023 года № 1235. Зарегистрирован в Министерстве юстиции Республики Казахстан 29 ноября 2023 года № 33700.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 -экономического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транспорта Республики Казахстан, Министерство промышленности и строительства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Объединенных Наций в Республике Казахстан и Комитетом лесного хозяйства и животного мира Министерства экологии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промышленности и строительства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промышленности и строительства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заключенным проектам о финансировании между Программой Развития Организации Объединенных Наций в Республике Казахстан и Министерством цифрового развития, инноваций и аэрокосмической промышленности Республики Казахстан по программе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 подпрограмм "За счет софинансирования гранта из республиканского бюджета" и "За счет гранта", при перечислении сумм по заключенному контракту на закуп консалтинговых услуг между государственным учреждением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