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f0f6" w14:textId="465f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24 мая 2023 года № 184-НҚ. Зарегистрирован в Министерстве юстиции Республики Казахстан 26 мая 2023 года № 32594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под № 13217)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"Отдельные виды товаров,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"Нефть сырая и товары, выработанные из нефти, в отношении которых применяются вывозные таможенные пошлины, размер ставок и срок их действия":</w:t>
      </w:r>
    </w:p>
    <w:bookmarkEnd w:id="10"/>
    <w:bookmarkStart w:name="z15" w:id="11"/>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p>
            <w:pPr>
              <w:spacing w:after="20"/>
              <w:ind w:left="20"/>
              <w:jc w:val="both"/>
            </w:pPr>
            <w:r>
              <w:rPr>
                <w:rFonts w:ascii="Times New Roman"/>
                <w:b w:val="false"/>
                <w:i w:val="false"/>
                <w:color w:val="000000"/>
                <w:sz w:val="20"/>
              </w:rPr>
              <w:t>
2710 19 640 1,</w:t>
            </w:r>
          </w:p>
          <w:p>
            <w:pPr>
              <w:spacing w:after="20"/>
              <w:ind w:left="20"/>
              <w:jc w:val="both"/>
            </w:pPr>
            <w:r>
              <w:rPr>
                <w:rFonts w:ascii="Times New Roman"/>
                <w:b w:val="false"/>
                <w:i w:val="false"/>
                <w:color w:val="000000"/>
                <w:sz w:val="20"/>
              </w:rPr>
              <w:t>
2710 19 660 1,</w:t>
            </w:r>
          </w:p>
          <w:p>
            <w:pPr>
              <w:spacing w:after="20"/>
              <w:ind w:left="20"/>
              <w:jc w:val="both"/>
            </w:pPr>
            <w:r>
              <w:rPr>
                <w:rFonts w:ascii="Times New Roman"/>
                <w:b w:val="false"/>
                <w:i w:val="false"/>
                <w:color w:val="000000"/>
                <w:sz w:val="20"/>
              </w:rPr>
              <w:t>
2710 19 680 1,</w:t>
            </w:r>
          </w:p>
          <w:p>
            <w:pPr>
              <w:spacing w:after="20"/>
              <w:ind w:left="20"/>
              <w:jc w:val="both"/>
            </w:pPr>
            <w:r>
              <w:rPr>
                <w:rFonts w:ascii="Times New Roman"/>
                <w:b w:val="false"/>
                <w:i w:val="false"/>
                <w:color w:val="000000"/>
                <w:sz w:val="20"/>
              </w:rPr>
              <w:t>
2710 20 310 1,</w:t>
            </w:r>
          </w:p>
          <w:p>
            <w:pPr>
              <w:spacing w:after="20"/>
              <w:ind w:left="20"/>
              <w:jc w:val="both"/>
            </w:pPr>
            <w:r>
              <w:rPr>
                <w:rFonts w:ascii="Times New Roman"/>
                <w:b w:val="false"/>
                <w:i w:val="false"/>
                <w:color w:val="000000"/>
                <w:sz w:val="20"/>
              </w:rPr>
              <w:t>
2710 20 350 1,</w:t>
            </w:r>
          </w:p>
          <w:p>
            <w:pPr>
              <w:spacing w:after="20"/>
              <w:ind w:left="20"/>
              <w:jc w:val="both"/>
            </w:pPr>
            <w:r>
              <w:rPr>
                <w:rFonts w:ascii="Times New Roman"/>
                <w:b w:val="false"/>
                <w:i w:val="false"/>
                <w:color w:val="000000"/>
                <w:sz w:val="20"/>
              </w:rPr>
              <w:t>
2710 20 370 1,</w:t>
            </w:r>
          </w:p>
          <w:p>
            <w:pPr>
              <w:spacing w:after="20"/>
              <w:ind w:left="20"/>
              <w:jc w:val="both"/>
            </w:pPr>
            <w:r>
              <w:rPr>
                <w:rFonts w:ascii="Times New Roman"/>
                <w:b w:val="false"/>
                <w:i w:val="false"/>
                <w:color w:val="000000"/>
                <w:sz w:val="20"/>
              </w:rPr>
              <w:t>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p>
            <w:pPr>
              <w:spacing w:after="20"/>
              <w:ind w:left="20"/>
              <w:jc w:val="both"/>
            </w:pPr>
            <w:r>
              <w:rPr>
                <w:rFonts w:ascii="Times New Roman"/>
                <w:b w:val="false"/>
                <w:i w:val="false"/>
                <w:color w:val="000000"/>
                <w:sz w:val="20"/>
              </w:rPr>
              <w:t>
за 1 тонну</w:t>
            </w:r>
          </w:p>
          <w:p>
            <w:pPr>
              <w:spacing w:after="20"/>
              <w:ind w:left="20"/>
              <w:jc w:val="both"/>
            </w:pPr>
            <w:r>
              <w:rPr>
                <w:rFonts w:ascii="Times New Roman"/>
                <w:b w:val="false"/>
                <w:i w:val="false"/>
                <w:color w:val="000000"/>
                <w:sz w:val="20"/>
              </w:rPr>
              <w:t>
с 1 мая по</w:t>
            </w:r>
          </w:p>
          <w:p>
            <w:pPr>
              <w:spacing w:after="20"/>
              <w:ind w:left="20"/>
              <w:jc w:val="both"/>
            </w:pPr>
            <w:r>
              <w:rPr>
                <w:rFonts w:ascii="Times New Roman"/>
                <w:b w:val="false"/>
                <w:i w:val="false"/>
                <w:color w:val="000000"/>
                <w:sz w:val="20"/>
              </w:rPr>
              <w:t>
31 августа включительно</w:t>
            </w:r>
          </w:p>
        </w:tc>
      </w:tr>
    </w:tbl>
    <w:bookmarkStart w:name="z27" w:id="13"/>
    <w:p>
      <w:pPr>
        <w:spacing w:after="0"/>
        <w:ind w:left="0"/>
        <w:jc w:val="both"/>
      </w:pPr>
      <w:r>
        <w:rPr>
          <w:rFonts w:ascii="Times New Roman"/>
          <w:b w:val="false"/>
          <w:i w:val="false"/>
          <w:color w:val="000000"/>
          <w:sz w:val="28"/>
        </w:rPr>
        <w:t>
      ".</w:t>
      </w:r>
    </w:p>
    <w:bookmarkEnd w:id="13"/>
    <w:bookmarkStart w:name="z28" w:id="14"/>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14"/>
    <w:bookmarkStart w:name="z29"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30"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6"/>
    <w:bookmarkStart w:name="z31"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7"/>
    <w:bookmarkStart w:name="z3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3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