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4bdc" w14:textId="11e4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Кентау Туркестанской области от 7 октября 2022 года № 498. Зарегистрировано в Министерстве юстиции Республики Казахстан 13 октября 2022 года № 30126. Утратило силу постановлением акимата города Кентау Туркестанской области от 2 мая 2025 года № 159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Кентау Туркестанской области от 02.05.2025 № 159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Кентау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Кентау.</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Кентау" в порядке, установленном законодательством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Кентау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Кентау.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Кентау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города Кентау</w:t>
            </w:r>
            <w:r>
              <w:br/>
            </w:r>
            <w:r>
              <w:rPr>
                <w:rFonts w:ascii="Times New Roman"/>
                <w:b w:val="false"/>
                <w:i w:val="false"/>
                <w:color w:val="000000"/>
                <w:sz w:val="20"/>
              </w:rPr>
              <w:t>от 7 октября 2022 года № 498</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Кентау</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Кентау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Кентау.</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9"/>
    <w:bookmarkStart w:name="z12"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акимата города Кентау"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bookmarkEnd w:id="10"/>
    <w:bookmarkStart w:name="z13" w:id="11"/>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акимата города Кентау"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11"/>
    <w:bookmarkStart w:name="z14" w:id="12"/>
    <w:p>
      <w:pPr>
        <w:spacing w:after="0"/>
        <w:ind w:left="0"/>
        <w:jc w:val="both"/>
      </w:pPr>
      <w:r>
        <w:rPr>
          <w:rFonts w:ascii="Times New Roman"/>
          <w:b w:val="false"/>
          <w:i w:val="false"/>
          <w:color w:val="000000"/>
          <w:sz w:val="28"/>
        </w:rPr>
        <w:t>
      5. Акимат города Кентау организует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1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3"/>
    <w:bookmarkStart w:name="z16"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7" w:id="15"/>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15"/>
    <w:bookmarkStart w:name="z18"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19"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0" w:id="1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1" w:id="1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2"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3"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4" w:id="22"/>
    <w:p>
      <w:pPr>
        <w:spacing w:after="0"/>
        <w:ind w:left="0"/>
        <w:jc w:val="left"/>
      </w:pPr>
      <w:r>
        <w:rPr>
          <w:rFonts w:ascii="Times New Roman"/>
          <w:b/>
          <w:i w:val="false"/>
          <w:color w:val="000000"/>
        </w:rPr>
        <w:t xml:space="preserve"> Глава 4. Заключительные положения</w:t>
      </w:r>
    </w:p>
    <w:bookmarkEnd w:id="22"/>
    <w:bookmarkStart w:name="z25"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Кентау,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