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3f84" w14:textId="e2c3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Заместителя Премьер-Министра Республики Казахстан – Министра сельского хозяйства Республики Казахстан от 11 декабря 2018 года № 502 и Министра национальной экономики Республики Казахстан от 11 декабря 2018 года № 101 "Об утверждении критериев оценки степени рисков и проверочных листов в области земельных правоотношений, за использованием и охраной земель, геодезии и картографии, государственного земельного кадастра и мониторинга земель"</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1 ноября 2022 года № 357 и и.о. Министра национальной экономики Республики Казахстан от 17 октября 2022 года № 73. Зарегистрирован в Министерстве юстиции Республики Казахстан 7 ноября 2022 года № 30427.</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11 декабря 2018 года № 502 и Министра национальной экономики Республики Казахстан от 11 декабря 2018 года № 101 "Об утверждении критериев оценки степени рисков и проверочных листов в области земельных правоотношений, за использованием и охраной земель, геодезии и картографии, государственного земельного кадастра и мониторинга земель" (зарегистрирован в Реестре государственной регистрации нормативных правовых актов № 18000)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рисков в области земельных правоотношений за законностью принятых решений местных исполнительных органов,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"3) значительные нарушения – нарушения требований земельного законодательства, выраженные в несоблюдении установленных сроков рассмотрения ходатайств (заявлений) физических и юридических лиц, принятия решения местными исполнительными органами о предоставлении или об отказе в предоставлении прав на земельные участки, рассмотрения и утверждения землеустроительного проекта, заключения договора купли-продажи или временного возмездного (безвозмездного) землепользования, размещения информации со списками лиц, получивших земельный участок, проведение торгов (аукционов) и конкурсов, а также в несоблюдении требований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и перевода сельскохозяйственных угодий из одного вида в другой;";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Start w:name="z11" w:id="4"/>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7"/>
    <w:bookmarkStart w:name="z15"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Национальной экономики</w:t>
            </w:r>
          </w:p>
          <w:p>
            <w:pPr>
              <w:spacing w:after="20"/>
              <w:ind w:left="20"/>
              <w:jc w:val="both"/>
            </w:pPr>
            <w:r>
              <w:rPr>
                <w:rFonts w:ascii="Times New Roman"/>
                <w:b w:val="false"/>
                <w:i w:val="false"/>
                <w:color w:val="000000"/>
                <w:sz w:val="20"/>
              </w:rPr>
              <w:t>Республики Казахстан __________Т. Жаксылыков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p>
            <w:pPr>
              <w:spacing w:after="20"/>
              <w:ind w:left="20"/>
              <w:jc w:val="both"/>
            </w:pPr>
            <w:r>
              <w:rPr>
                <w:rFonts w:ascii="Times New Roman"/>
                <w:b w:val="false"/>
                <w:i w:val="false"/>
                <w:color w:val="000000"/>
                <w:sz w:val="20"/>
              </w:rPr>
              <w:t>Республики Казахстан       __________Е. Карашукеев</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2022 года № 73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2022 года № 357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земельных</w:t>
            </w:r>
            <w:r>
              <w:br/>
            </w:r>
            <w:r>
              <w:rPr>
                <w:rFonts w:ascii="Times New Roman"/>
                <w:b w:val="false"/>
                <w:i w:val="false"/>
                <w:color w:val="000000"/>
                <w:sz w:val="20"/>
              </w:rPr>
              <w:t>правоотношений за законностью</w:t>
            </w:r>
            <w:r>
              <w:br/>
            </w:r>
            <w:r>
              <w:rPr>
                <w:rFonts w:ascii="Times New Roman"/>
                <w:b w:val="false"/>
                <w:i w:val="false"/>
                <w:color w:val="000000"/>
                <w:sz w:val="20"/>
              </w:rPr>
              <w:t>принятых решений местных</w:t>
            </w:r>
            <w:r>
              <w:br/>
            </w:r>
            <w:r>
              <w:rPr>
                <w:rFonts w:ascii="Times New Roman"/>
                <w:b w:val="false"/>
                <w:i w:val="false"/>
                <w:color w:val="000000"/>
                <w:sz w:val="20"/>
              </w:rPr>
              <w:t>исполнительных органов</w:t>
            </w:r>
          </w:p>
        </w:tc>
      </w:tr>
    </w:tbl>
    <w:bookmarkStart w:name="z20" w:id="10"/>
    <w:p>
      <w:pPr>
        <w:spacing w:after="0"/>
        <w:ind w:left="0"/>
        <w:jc w:val="left"/>
      </w:pPr>
      <w:r>
        <w:rPr>
          <w:rFonts w:ascii="Times New Roman"/>
          <w:b/>
          <w:i w:val="false"/>
          <w:color w:val="000000"/>
        </w:rPr>
        <w:t xml:space="preserve"> Субъективные критерии оценки степени рисков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информационному источнику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критериев:)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 изменение целевого назначения земельных участков или права аренды земельных участков в соответствии с генеральными планами, проектами детальной планировки и застройки (при наличии этих проектов) и проектами земельно-хозяйственного устройства территории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на торгах (аукционах) и конкурсах,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заявлений физических или юридических лиц о предоставлении соответствующего права на земельный участок (до пятнадцати рабочих дней с момента поступления заявления, за исключением случаев испрашивания земельных участков для нужд обороны и национальной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на основании положительного заключения земельной комиссии и (или) утвержденного землеустроительного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об отказе в предоставлении прав на земельные участки (в течение трех рабочих дней с даты вынесения отрицательного заключения земельной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на земельный участок (в течение трех рабочих дней с момента поступления утвержденного землеустроительного проекта и положительного заключения земельной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только на земельные участки, которые могут находиться в частной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принудительном отчуждении земельного участка для государственных нужд только в исключительных случаях (международные обязательства, вытекающие из международных договоров, ратифицированных Республикой Казахстан;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 обнаружение и разработка месторождения полезных ископаемых;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 удовлетворение нужд населения в пастбищных угодьях для выпаса сельскохозяйственных животных личного подворья;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 исполнение генеральных планов населенных пунктов в части строительства объектов, подпадающих под перечень исключительных случаев, а также строительство объектов, предусмотренных документами Системы государственного планирования Республики Казахстан,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бесплатно в частную собственность в пределах установленных норм предоставления земельных участков, а также недопущение повторного бесплатного предоставления земельных участков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для индивидуального жилищного строительства – 0,10 гектара; для садоводства, а также дачного строительства – 0,12 гектара)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Принятие решения о предоставлении права временного безвозмездного землепользования для указанных целей сроком не выше пяти лет (для отгонного животноводства (сезонные пастбища);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для выпаса скота населения и сенокошения;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землепользователям;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ведения огородничества;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виде служебных земельных наделов;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период строительства дорог общего пользования, объектов государственной собственности и социально-культурного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восстановлении деградированных и нарушенных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срок действия договора государственно-частного партнерства, в том числе договора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w:t>
            </w:r>
          </w:p>
          <w:p>
            <w:pPr>
              <w:spacing w:after="20"/>
              <w:ind w:left="20"/>
              <w:jc w:val="both"/>
            </w:pPr>
            <w:r>
              <w:rPr>
                <w:rFonts w:ascii="Times New Roman"/>
                <w:b w:val="false"/>
                <w:i w:val="false"/>
                <w:color w:val="000000"/>
                <w:sz w:val="20"/>
              </w:rPr>
              <w:t>
для объектов культовых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права частной собственности или землепользование на земли сельскохозяйственного назначения иностранцам и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в пределах своей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принятия решения об отказе в предоставлении прав на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на земельный участок (в течение пяти рабочих дней со дня подачи землепользователем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об изменении целевого назначения земельного участка (до тринадцати рабочих дней с момента поступления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утверждение землеустроительного проекта (в течение четырех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земельных участков для строительства индивидуальных жилых домов, специального земельного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предложения о вынесении свободного земельного участка на торги (аукцион) (в течение двадцати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объявления о проведении торгов (аукционов) на веб-портале реестра государственного имущества (не менее чем за пятнадцать календарных дней до проведения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сельскохозяйственных угодий из одного вида в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интернет-ресурсе местного исполнительного органа и интернет-ресурсе уполномоченного органа области, города республиканского значения, столицы, района, города областного значения – ежемесячно,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торгов (аукционов) и конкурсов (не позднее девяноста календарных дней со дня принятия решения об отказе в предоставлении права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отказа в рассмотрении заявления о предоставлении права на земельный участок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(в течение двух рабочих дней с момента поступления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и внесение материалов в земельную комиссию (в течение семи рабочих дней с момента поступления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земельной комиссии с момента передачи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предоставление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 (в течение двух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заявителю одного экземпляра положительного заключения земельной комиссии для подготовки им землеустроительного проекта (в течение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акта выбора земельного участка с его ситуационной схемой, архитектурно-планировочного задания, опросного листа для получения технических условий, топографии и направление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"Правительство для граждан",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 (в течение семи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согласующими органами соответствующего заключения о возможности предоставления земельного участка по заявленному целевому назначению (в течение двенадцати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заключения об отказе в предоставлении права на земельный участок и направление его заявителю (в течение трех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структурным подразделением местного исполнительного органа, осуществляющим функции в сфере архитектуры и градостроительства, окончательного акта выбора земельного участка с приложением архитектурно-планировочного задания, технических условий на подключение к инженерным сетям и топографии (в течение пяти рабочих дней после поступления положительных заключений)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копии решения, земельно-кадастрового плана в уполномоченный орган области, города республиканского значения, столицы, района, города областного значения для подготовки договора временного землепользования (в течение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о выборе земельного участка с последующим направлением в земельную комиссию для рассмотрения и подготовки заключения земельной комиссии с соблюдением срока выбора земельного участка (в течение десяти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(направление) заявителю копию решения о предоставлении либо об отказе в предоставлении соответствующих прав на земельные участки (в течение пяти рабочих дней с момента принятия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купли-продажи или временного возмездного (безвозмездного) землепользования (не позднее десяти рабочих дней со дня принятия решения о предоставлении права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И.о. 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2022 года № 73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2022 года № 357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2018 года № 502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2018 года № 101</w:t>
            </w:r>
          </w:p>
        </w:tc>
      </w:tr>
    </w:tbl>
    <w:bookmarkStart w:name="z34" w:id="12"/>
    <w:p>
      <w:pPr>
        <w:spacing w:after="0"/>
        <w:ind w:left="0"/>
        <w:jc w:val="left"/>
      </w:pPr>
      <w:r>
        <w:rPr>
          <w:rFonts w:ascii="Times New Roman"/>
          <w:b/>
          <w:i w:val="false"/>
          <w:color w:val="000000"/>
        </w:rPr>
        <w:t xml:space="preserve"> Проверочный лист в области земельных правоотношений за законностью принятых решений местных исполнительных органов и акимов городов районного значения, поселков, сел и сельских округов</w:t>
      </w:r>
    </w:p>
    <w:bookmarkEnd w:id="12"/>
    <w:p>
      <w:pPr>
        <w:spacing w:after="0"/>
        <w:ind w:left="0"/>
        <w:jc w:val="both"/>
      </w:pPr>
      <w:bookmarkStart w:name="z35" w:id="13"/>
      <w:r>
        <w:rPr>
          <w:rFonts w:ascii="Times New Roman"/>
          <w:b w:val="false"/>
          <w:i w:val="false"/>
          <w:color w:val="000000"/>
          <w:sz w:val="28"/>
        </w:rPr>
        <w:t>
      ________________________________________________________________________</w:t>
      </w:r>
    </w:p>
    <w:bookmarkEnd w:id="1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____________________________________________________________________ </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Государственный орган, назначивший проверку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 xml:space="preserve">       (объекта) контроля 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 _________________________________________________ </w:t>
      </w:r>
    </w:p>
    <w:p>
      <w:pPr>
        <w:spacing w:after="0"/>
        <w:ind w:left="0"/>
        <w:jc w:val="both"/>
      </w:pPr>
      <w:r>
        <w:rPr>
          <w:rFonts w:ascii="Times New Roman"/>
          <w:b w:val="false"/>
          <w:i w:val="false"/>
          <w:color w:val="000000"/>
          <w:sz w:val="28"/>
        </w:rPr>
        <w:t xml:space="preserve">       Адрес местонахождения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 изменение целевого назначения земельных участков или права аренды земельных участков в соответствии с генеральными планами, проектами детальной планировки и застройки (при наличии этих проектов) и проектами земельно-хозяйственного устройства территории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на торгах (аукционах) и конкурсах,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заявлений физических или юридических лиц о предоставлении соответствующего права на земельный участок (до пятнадцати рабочих дней с момента поступления заявления, за исключением случаев испрашивания земельных участков для нужд обороны и национальной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на основании положительного заключения земельной комиссии и (или) утвержденного землеустроительного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об отказе в предоставлении прав на земельные участки (в течение трех рабочих дней с даты вынесения отрицательного заключения земельной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на земельный участок (в течение трех рабочих дней с момента поступления утвержденного землеустроительного проекта и положительного заключения земельной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только на земельные участки, которые могут находиться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Принятие решения о принудительном отчуждении земельного участка для государственных нужд только в исключительных случаях (международные обязательства, вытекающие из международных договоров, ратифицированных Республикой Казахстан;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 обнаружение и разработка месторождения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 удовлетворение нужд населения в пастбищных угодьях для выпаса сельскохозяйственных животных личного подворья;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p>
          <w:p>
            <w:pPr>
              <w:spacing w:after="20"/>
              <w:ind w:left="20"/>
              <w:jc w:val="both"/>
            </w:pPr>
            <w:r>
              <w:rPr>
                <w:rFonts w:ascii="Times New Roman"/>
                <w:b w:val="false"/>
                <w:i w:val="false"/>
                <w:color w:val="000000"/>
                <w:sz w:val="20"/>
              </w:rPr>
              <w:t>
исполнение генеральных планов населенных пунктов в части строительства объектов, подпадающих под перечень исключительных случаев, а также строительство объектов, предусмотренных документами Системы государственного планирования Республики Казахстан,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бесплатно в частную собственность в пределах установленных норм предоставления земельных участков, а также недопущение повторного бесплатного предоставления земельных участков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для индивидуального жилищного строительства – 0,10 гектара; для садоводства, а также дачного строительства – 0,12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Принятие решения о предоставлении права временного безвозмездного землепользования для указанных целей сроком не выше пяти лет (для отгонного животноводства (сезонные пастбища);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для выпаса скота населения и сенокошения;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землепользователям;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ведения огородничества;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виде служебных земельных наделов;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период строительства дорог общего пользования, объектов государственной собственности и социально-культурного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восстановлении деградированных и нарушенных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срок действия договора государственно-частного партнерства, в том числе договора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w:t>
            </w:r>
          </w:p>
          <w:p>
            <w:pPr>
              <w:spacing w:after="20"/>
              <w:ind w:left="20"/>
              <w:jc w:val="both"/>
            </w:pPr>
            <w:r>
              <w:rPr>
                <w:rFonts w:ascii="Times New Roman"/>
                <w:b w:val="false"/>
                <w:i w:val="false"/>
                <w:color w:val="000000"/>
                <w:sz w:val="20"/>
              </w:rPr>
              <w:t>
для объектов культовых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прав частной собственности или землепользования на земли сельскохозяйственного назначения иностранцам и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в пределах своей компетенции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принятия решения об отказе в предоставлении прав на земельные участки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на земельный участок (в течение пяти рабочих дней со дня подачи землепользователем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об изменении целевого назначения земельного участка (до тринадцати рабочих дней с момента поступления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утверждение землеустроительного проекта (в течение четырех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земельных участков для строительства индивидуальных жилых домов, специального земельного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предложения о вынесении свободного земельного участка на торги (аукцион (в течение двадцати календарных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объявления о проведении торгов (аукционов) на веб-портале реестра государственного имущества (не менее чем за пятнадцать календарных дней до проведения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сельскохозяйственных угодий из одного вида в другой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интернет-ресурсе местного исполнительного органа и интернет-ресурсе уполномоченного органа области, города республиканского значения, столицы, района, города областного значения – ежемесячно,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торгов (аукционов) и конкурсов (не позднее девяноста календарных дней со дня принятия решения об отказе в предоставлении права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отказа в рассмотрении заявления о предоставлении права на земельный участок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(в течение двух рабочих дней с момента поступления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и внесение материалов в земельную комиссию (в течение семи рабочих дней с момента поступления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земельной комиссии с момента передачи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предоставление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 (в течение двух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заявителю одного экземпляра положительного заключения земельной комиссии для подготовки им землеустроительного проекта (в течение одного рабочего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акта выбора земельного участка с его ситуационной схемой, архитектурно-планировочного задания, опросного листа для получения технических условий, топографии и направление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"Правительство для граждан",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 (в течение семи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согласующими органами соответствующего заключения о возможности предоставления земельного участка по заявленному целевому назначению (в течение двенадцати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заключения об отказе в предоставлении права на земельный участок и направление его заявителю (в течение трех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структурным подразделением местного исполнительного органа, осуществляющим функции в сфере архитектуры и градостроительства окончательного акта выбора земельного участка с приложением архитектурно-планировочного задания, технических условий на подключение к инженерным сетям и топографии (в течение пяти рабочих дней после поступления положительных заключений)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копии решения, земельно-кадастрового плана в уполномоченный орган области, города республиканского значения, столицы, района, города областного значения для подготовки договора временного землепользования (в течение одного рабочего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о выборе земельного участка с последующим направлением в земельную комиссию для рассмотрения и подготовки заключения земельной комиссии с соблюдением срока выбора земельного участка (в течение десяти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(направление) заявителю копию решения о предоставлении либо об отказе в предоставлении соответствующих прав на земельные участки (в течение пяти рабочих дней с момента принятия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купли-продажи или временного возмездного (безвозмездного) землепользования (не позднее десяти рабочих дней со дня принятия решения о предоставлении права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 w:id="16"/>
      <w:r>
        <w:rPr>
          <w:rFonts w:ascii="Times New Roman"/>
          <w:b w:val="false"/>
          <w:i w:val="false"/>
          <w:color w:val="000000"/>
          <w:sz w:val="28"/>
        </w:rPr>
        <w:t>
      Должностное (ые) лицо (а) __________________________       ___________</w:t>
      </w:r>
    </w:p>
    <w:bookmarkEnd w:id="16"/>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       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