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8d89b" w14:textId="d38d8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статистической формы общегосударственного статистического наблюдения "Единовременное обследование некоммерческих организаций" и инструкций по ее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7 сентября 2022 года № 23. Зарегистрирован в Министерстве юстиции Республики Казахстан 7 сентября 2022 года № 29464. Утратил силу приказом Руководителя Бюро национальной статистики Агентства по стратегическому планированию и реформам Республики Казахстан от 13 июня 2025 года № 17.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Руководителя Бюро национальной статистики Агентства по стратегическому планированию и реформам РК от 13.06.2025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01. 01.2023</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с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ПРИКАЗЫВАЮ:</w:t>
      </w:r>
    </w:p>
    <w:bookmarkEnd w:id="0"/>
    <w:bookmarkStart w:name="z6"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"Единовременное обследование некоммерческих организаций" (индекс 1-НКО, периодичность единовременная)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"Единовременное обследование некоммерческих организаций" (индекс 1-НКО, периодичность единовременная)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2.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4"/>
    <w:bookmarkStart w:name="z10"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1" w:id="6"/>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6"/>
    <w:bookmarkStart w:name="z12" w:id="7"/>
    <w:p>
      <w:pPr>
        <w:spacing w:after="0"/>
        <w:ind w:left="0"/>
        <w:jc w:val="both"/>
      </w:pPr>
      <w:r>
        <w:rPr>
          <w:rFonts w:ascii="Times New Roman"/>
          <w:b w:val="false"/>
          <w:i w:val="false"/>
          <w:color w:val="000000"/>
          <w:sz w:val="28"/>
        </w:rPr>
        <w:t>
      3.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7"/>
    <w:bookmarkStart w:name="z13"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8"/>
    <w:bookmarkStart w:name="z14" w:id="9"/>
    <w:p>
      <w:pPr>
        <w:spacing w:after="0"/>
        <w:ind w:left="0"/>
        <w:jc w:val="both"/>
      </w:pPr>
      <w:r>
        <w:rPr>
          <w:rFonts w:ascii="Times New Roman"/>
          <w:b w:val="false"/>
          <w:i w:val="false"/>
          <w:color w:val="000000"/>
          <w:sz w:val="28"/>
        </w:rPr>
        <w:t>
      5. Настоящий приказ вводится в действие с 1 января 2023 года.</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w:t>
            </w:r>
          </w:p>
          <w:p>
            <w:pPr>
              <w:spacing w:after="20"/>
              <w:ind w:left="20"/>
              <w:jc w:val="both"/>
            </w:pPr>
          </w:p>
          <w:p>
            <w:pPr>
              <w:spacing w:after="20"/>
              <w:ind w:left="20"/>
              <w:jc w:val="both"/>
            </w:pPr>
            <w:r>
              <w:rPr>
                <w:rFonts w:ascii="Times New Roman"/>
                <w:b w:val="false"/>
                <w:i/>
                <w:color w:val="000000"/>
                <w:sz w:val="20"/>
              </w:rPr>
              <w:t>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информации</w:t>
      </w:r>
    </w:p>
    <w:p>
      <w:pPr>
        <w:spacing w:after="0"/>
        <w:ind w:left="0"/>
        <w:jc w:val="both"/>
      </w:pPr>
      <w:r>
        <w:rPr>
          <w:rFonts w:ascii="Times New Roman"/>
          <w:b w:val="false"/>
          <w:i w:val="false"/>
          <w:color w:val="000000"/>
          <w:sz w:val="28"/>
        </w:rPr>
        <w:t>и общественного развития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2022 года № 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53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bl>
    <w:bookmarkStart w:name="z23" w:id="11"/>
    <w:p>
      <w:pPr>
        <w:spacing w:after="0"/>
        <w:ind w:left="0"/>
        <w:jc w:val="left"/>
      </w:pPr>
      <w:r>
        <w:rPr>
          <w:rFonts w:ascii="Times New Roman"/>
          <w:b/>
          <w:i w:val="false"/>
          <w:color w:val="000000"/>
        </w:rPr>
        <w:t xml:space="preserve"> Коммерциялық емес ұйымдарды біржолғы зерттеу</w:t>
      </w:r>
      <w:r>
        <w:br/>
      </w:r>
      <w:r>
        <w:rPr>
          <w:rFonts w:ascii="Times New Roman"/>
          <w:b/>
          <w:i w:val="false"/>
          <w:color w:val="000000"/>
        </w:rPr>
        <w:t>Единовременное обследование некоммерческих организаций</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1-НКО</w:t>
            </w:r>
          </w:p>
          <w:p>
            <w:pPr>
              <w:spacing w:after="20"/>
              <w:ind w:left="20"/>
              <w:jc w:val="both"/>
            </w:pPr>
            <w:r>
              <w:rPr>
                <w:rFonts w:ascii="Times New Roman"/>
                <w:b w:val="false"/>
                <w:i w:val="false"/>
                <w:color w:val="000000"/>
                <w:sz w:val="20"/>
              </w:rPr>
              <w:t>
1-НКО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біржолғы</w:t>
            </w:r>
          </w:p>
          <w:p>
            <w:pPr>
              <w:spacing w:after="20"/>
              <w:ind w:left="20"/>
              <w:jc w:val="both"/>
            </w:pPr>
            <w:r>
              <w:rPr>
                <w:rFonts w:ascii="Times New Roman"/>
                <w:b w:val="false"/>
                <w:i w:val="false"/>
                <w:color w:val="000000"/>
                <w:sz w:val="20"/>
              </w:rPr>
              <w:t>
единовременная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859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85900" cy="774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 </w:t>
            </w:r>
          </w:p>
          <w:p>
            <w:pPr>
              <w:spacing w:after="20"/>
              <w:ind w:left="20"/>
              <w:jc w:val="both"/>
            </w:pPr>
            <w:r>
              <w:rPr>
                <w:rFonts w:ascii="Times New Roman"/>
                <w:b w:val="false"/>
                <w:i w:val="false"/>
                <w:color w:val="000000"/>
                <w:sz w:val="20"/>
              </w:rPr>
              <w:t>
год</w:t>
            </w:r>
          </w:p>
        </w:tc>
      </w:tr>
    </w:tbl>
    <w:p>
      <w:pPr>
        <w:spacing w:after="0"/>
        <w:ind w:left="0"/>
        <w:jc w:val="both"/>
      </w:pPr>
      <w:bookmarkStart w:name="z29" w:id="12"/>
      <w:r>
        <w:rPr>
          <w:rFonts w:ascii="Times New Roman"/>
          <w:b w:val="false"/>
          <w:i w:val="false"/>
          <w:color w:val="000000"/>
          <w:sz w:val="28"/>
        </w:rPr>
        <w:t xml:space="preserve">
      </w:t>
      </w:r>
      <w:r>
        <w:rPr>
          <w:rFonts w:ascii="Times New Roman"/>
          <w:b/>
          <w:i w:val="false"/>
          <w:color w:val="000000"/>
          <w:sz w:val="28"/>
        </w:rPr>
        <w:t>Экономикалық қызмет түрлері жалпы жіктеуішінің 94-кодына сәйкес негізгі және қосалқы қызмет түрлері "Қоғамдық бірлестіктер (ұйымдар) қызметі" болып табылатын коммерциялық емес ұйымдар ұсынады</w:t>
      </w:r>
    </w:p>
    <w:bookmarkEnd w:id="12"/>
    <w:p>
      <w:pPr>
        <w:spacing w:after="0"/>
        <w:ind w:left="0"/>
        <w:jc w:val="both"/>
      </w:pPr>
      <w:r>
        <w:rPr>
          <w:rFonts w:ascii="Times New Roman"/>
          <w:b w:val="false"/>
          <w:i w:val="false"/>
          <w:color w:val="000000"/>
          <w:sz w:val="28"/>
        </w:rPr>
        <w:t>Представляют некоммерческие организации с основным и вторичным видами деятельности "Деятельность общественных объединений (организаций)" согласно коду Общего классификатора видов экономической деятельности 94</w:t>
      </w:r>
    </w:p>
    <w:p>
      <w:pPr>
        <w:spacing w:after="0"/>
        <w:ind w:left="0"/>
        <w:jc w:val="both"/>
      </w:pPr>
      <w:r>
        <w:rPr>
          <w:rFonts w:ascii="Times New Roman"/>
          <w:b/>
          <w:i w:val="false"/>
          <w:color w:val="000000"/>
          <w:sz w:val="28"/>
        </w:rPr>
        <w:t>Ұсыну мерзімі – есепті кезеңнен кейінгі 5 мамырға (қоса алғанда) дейін</w:t>
      </w:r>
    </w:p>
    <w:p>
      <w:pPr>
        <w:spacing w:after="0"/>
        <w:ind w:left="0"/>
        <w:jc w:val="both"/>
      </w:pPr>
      <w:r>
        <w:rPr>
          <w:rFonts w:ascii="Times New Roman"/>
          <w:b w:val="false"/>
          <w:i w:val="false"/>
          <w:color w:val="000000"/>
          <w:sz w:val="28"/>
        </w:rPr>
        <w:t>Срок предоставления –до 5 мая (включительно) после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 Заңды тұлғаның деректемелері:</w:t>
            </w:r>
          </w:p>
          <w:p>
            <w:pPr>
              <w:spacing w:after="20"/>
              <w:ind w:left="20"/>
              <w:jc w:val="both"/>
            </w:pPr>
            <w:r>
              <w:rPr>
                <w:rFonts w:ascii="Times New Roman"/>
                <w:b w:val="false"/>
                <w:i w:val="false"/>
                <w:color w:val="000000"/>
                <w:sz w:val="20"/>
              </w:rPr>
              <w:t>
Реквизиты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Ұйымның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организации (независимо от места его регистрации) – область, город, район, населенный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592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59200" cy="1066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Əкімшілік-аумақтық объектілер жіктеуішіне (ӘАОЖ) сəйкес аумақ коды (респондент статистикалық </w:t>
            </w:r>
            <w:r>
              <w:rPr>
                <w:rFonts w:ascii="Times New Roman"/>
                <w:b/>
                <w:i w:val="false"/>
                <w:color w:val="000000"/>
                <w:sz w:val="20"/>
              </w:rPr>
              <w:t>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Заңды тұлғаның (бөлімшенің) нақты жүзеге асырылатын экономикалық қызметінің негізгі түрінің кодын Экономикалық қызмет түрлерінің жалпы жіктеуішіне сәйкес (бұдан әрі - ЭҚЖЖ) көрсетіңіз</w:t>
            </w:r>
          </w:p>
          <w:p>
            <w:pPr>
              <w:spacing w:after="20"/>
              <w:ind w:left="20"/>
              <w:jc w:val="both"/>
            </w:pPr>
            <w:r>
              <w:rPr>
                <w:rFonts w:ascii="Times New Roman"/>
                <w:b w:val="false"/>
                <w:i w:val="false"/>
                <w:color w:val="000000"/>
                <w:sz w:val="20"/>
              </w:rPr>
              <w:t>
Укажите код согласно Общему классификатору видов экономической деятельности (далее - ОКЭД) фактически осуществляемого основного вида экономической деятельности юридического лица (подразделения)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92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923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36" w:id="13"/>
      <w:r>
        <w:rPr>
          <w:rFonts w:ascii="Times New Roman"/>
          <w:b w:val="false"/>
          <w:i w:val="false"/>
          <w:color w:val="000000"/>
          <w:sz w:val="28"/>
        </w:rPr>
        <w:t xml:space="preserve">
      </w:t>
      </w:r>
      <w:r>
        <w:rPr>
          <w:rFonts w:ascii="Times New Roman"/>
          <w:b/>
          <w:i w:val="false"/>
          <w:color w:val="000000"/>
          <w:sz w:val="28"/>
        </w:rPr>
        <w:t>2. Кәсіпорынның кірісі туралы ақпаратты көрсетіңіз, мың теңге</w:t>
      </w:r>
    </w:p>
    <w:bookmarkEnd w:id="13"/>
    <w:p>
      <w:pPr>
        <w:spacing w:after="0"/>
        <w:ind w:left="0"/>
        <w:jc w:val="both"/>
      </w:pPr>
      <w:r>
        <w:rPr>
          <w:rFonts w:ascii="Times New Roman"/>
          <w:b w:val="false"/>
          <w:i w:val="false"/>
          <w:color w:val="000000"/>
          <w:sz w:val="28"/>
        </w:rPr>
        <w:t>Укажите информацию о доходах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Коммерциялық емес қызметтен түскен кірістер</w:t>
            </w:r>
          </w:p>
          <w:p>
            <w:pPr>
              <w:spacing w:after="20"/>
              <w:ind w:left="20"/>
              <w:jc w:val="both"/>
            </w:pPr>
            <w:r>
              <w:rPr>
                <w:rFonts w:ascii="Times New Roman"/>
                <w:b w:val="false"/>
                <w:i w:val="false"/>
                <w:color w:val="000000"/>
                <w:sz w:val="20"/>
              </w:rPr>
              <w:t>
Доходы от некоммерческой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мүшелікке кіру, мақсатты, пайлық, қосымша, ерікті, демеушілік, қайырымдылық жарналар, қайырмалдықтар</w:t>
            </w:r>
          </w:p>
          <w:p>
            <w:pPr>
              <w:spacing w:after="20"/>
              <w:ind w:left="20"/>
              <w:jc w:val="both"/>
            </w:pPr>
            <w:r>
              <w:rPr>
                <w:rFonts w:ascii="Times New Roman"/>
                <w:b w:val="false"/>
                <w:i w:val="false"/>
                <w:color w:val="000000"/>
                <w:sz w:val="20"/>
              </w:rPr>
              <w:t xml:space="preserve">
членские вступительные, целевые, паевые, дополнительные, добровольные, спонсорские, благотворительные взносы, пожертвования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мыналардан алынған:</w:t>
            </w:r>
          </w:p>
          <w:p>
            <w:pPr>
              <w:spacing w:after="20"/>
              <w:ind w:left="20"/>
              <w:jc w:val="both"/>
            </w:pPr>
            <w:r>
              <w:rPr>
                <w:rFonts w:ascii="Times New Roman"/>
                <w:b w:val="false"/>
                <w:i w:val="false"/>
                <w:color w:val="000000"/>
                <w:sz w:val="20"/>
              </w:rPr>
              <w:t>
из них полученные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тұлғалардан</w:t>
            </w:r>
          </w:p>
          <w:p>
            <w:pPr>
              <w:spacing w:after="20"/>
              <w:ind w:left="20"/>
              <w:jc w:val="both"/>
            </w:pPr>
            <w:r>
              <w:rPr>
                <w:rFonts w:ascii="Times New Roman"/>
                <w:b w:val="false"/>
                <w:i w:val="false"/>
                <w:color w:val="000000"/>
                <w:sz w:val="20"/>
              </w:rPr>
              <w:t>
от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тұлғалардан</w:t>
            </w:r>
          </w:p>
          <w:p>
            <w:pPr>
              <w:spacing w:after="20"/>
              <w:ind w:left="20"/>
              <w:jc w:val="both"/>
            </w:pPr>
            <w:r>
              <w:rPr>
                <w:rFonts w:ascii="Times New Roman"/>
                <w:b w:val="false"/>
                <w:i w:val="false"/>
                <w:color w:val="000000"/>
                <w:sz w:val="20"/>
              </w:rPr>
              <w:t>
от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кірістер</w:t>
            </w:r>
          </w:p>
          <w:p>
            <w:pPr>
              <w:spacing w:after="20"/>
              <w:ind w:left="20"/>
              <w:jc w:val="both"/>
            </w:pPr>
            <w:r>
              <w:rPr>
                <w:rFonts w:ascii="Times New Roman"/>
                <w:b w:val="false"/>
                <w:i w:val="false"/>
                <w:color w:val="000000"/>
                <w:sz w:val="20"/>
              </w:rPr>
              <w:t>
Прочие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 w:id="14"/>
      <w:r>
        <w:rPr>
          <w:rFonts w:ascii="Times New Roman"/>
          <w:b w:val="false"/>
          <w:i w:val="false"/>
          <w:color w:val="000000"/>
          <w:sz w:val="28"/>
        </w:rPr>
        <w:t xml:space="preserve">
      </w:t>
      </w:r>
      <w:r>
        <w:rPr>
          <w:rFonts w:ascii="Times New Roman"/>
          <w:b/>
          <w:i w:val="false"/>
          <w:color w:val="000000"/>
          <w:sz w:val="28"/>
        </w:rPr>
        <w:t xml:space="preserve">2.1. Қызметтің қайталама түрлері бөлінісінде өндірілген өнімнен және көрсетілген қызметтерден </w:t>
      </w:r>
      <w:r>
        <w:rPr>
          <w:rFonts w:ascii="Times New Roman"/>
          <w:b/>
          <w:i w:val="false"/>
          <w:color w:val="000000"/>
          <w:sz w:val="28"/>
        </w:rPr>
        <w:t>түскенкірістер туралыақпараттыкөрсетіңіз (коммерциялыққызметтентүскен кіріс), мыңтеңге</w:t>
      </w:r>
    </w:p>
    <w:bookmarkEnd w:id="14"/>
    <w:p>
      <w:pPr>
        <w:spacing w:after="0"/>
        <w:ind w:left="0"/>
        <w:jc w:val="both"/>
      </w:pPr>
      <w:r>
        <w:rPr>
          <w:rFonts w:ascii="Times New Roman"/>
          <w:b w:val="false"/>
          <w:i w:val="false"/>
          <w:color w:val="000000"/>
          <w:sz w:val="28"/>
        </w:rPr>
        <w:t>Укажите информацию о доходах от произведенной продукции и оказанныхуслуг в разрезе вторичных видов деятельности (доход от коммерческой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w:t>
            </w:r>
            <w:r>
              <w:rPr>
                <w:rFonts w:ascii="Times New Roman"/>
                <w:b w:val="false"/>
                <w:i w:val="false"/>
                <w:color w:val="000000"/>
                <w:vertAlign w:val="superscript"/>
              </w:rPr>
              <w:t>1</w:t>
            </w:r>
            <w:r>
              <w:rPr>
                <w:rFonts w:ascii="Times New Roman"/>
                <w:b/>
                <w:i w:val="false"/>
                <w:color w:val="000000"/>
                <w:sz w:val="20"/>
              </w:rPr>
              <w:t>) коды (5 таңбалы) бойынша қызмет түрінің атауы</w:t>
            </w:r>
          </w:p>
          <w:p>
            <w:pPr>
              <w:spacing w:after="20"/>
              <w:ind w:left="20"/>
              <w:jc w:val="both"/>
            </w:pPr>
            <w:r>
              <w:rPr>
                <w:rFonts w:ascii="Times New Roman"/>
                <w:b w:val="false"/>
                <w:i w:val="false"/>
                <w:color w:val="000000"/>
                <w:sz w:val="20"/>
              </w:rPr>
              <w:t>
Наименование вида деятельности по коду ОКЭД1) (5-ти значный)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w:t>
            </w:r>
            <w:r>
              <w:rPr>
                <w:rFonts w:ascii="Times New Roman"/>
                <w:b w:val="false"/>
                <w:i w:val="false"/>
                <w:color w:val="000000"/>
                <w:vertAlign w:val="superscript"/>
              </w:rPr>
              <w:t>1)</w:t>
            </w:r>
            <w:r>
              <w:rPr>
                <w:rFonts w:ascii="Times New Roman"/>
                <w:b/>
                <w:i w:val="false"/>
                <w:color w:val="000000"/>
                <w:sz w:val="20"/>
              </w:rPr>
              <w:t xml:space="preserve"> коды (5 таңбалы)</w:t>
            </w:r>
          </w:p>
          <w:p>
            <w:pPr>
              <w:spacing w:after="20"/>
              <w:ind w:left="20"/>
              <w:jc w:val="both"/>
            </w:pPr>
            <w:r>
              <w:rPr>
                <w:rFonts w:ascii="Times New Roman"/>
                <w:b w:val="false"/>
                <w:i w:val="false"/>
                <w:color w:val="000000"/>
                <w:sz w:val="20"/>
              </w:rPr>
              <w:t>
Код ОКЭД1) (5-ти значный)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Өндірілген өнімнен және көрсетілген қызметтерден түскен кіріс</w:t>
            </w:r>
          </w:p>
          <w:p>
            <w:pPr>
              <w:spacing w:after="20"/>
              <w:ind w:left="20"/>
              <w:jc w:val="both"/>
            </w:pPr>
            <w:r>
              <w:rPr>
                <w:rFonts w:ascii="Times New Roman"/>
                <w:b w:val="false"/>
                <w:i w:val="false"/>
                <w:color w:val="000000"/>
                <w:sz w:val="20"/>
              </w:rPr>
              <w:t>
Доход от произведенной продукции и оказанных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2" w:id="15"/>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Экономикалық қызмет түрлерінің жалпы жіктеуішіне (ЭҚЖЖ) сәйкес</w:t>
      </w:r>
    </w:p>
    <w:bookmarkEnd w:id="15"/>
    <w:p>
      <w:pPr>
        <w:spacing w:after="0"/>
        <w:ind w:left="0"/>
        <w:jc w:val="both"/>
      </w:pPr>
      <w:r>
        <w:rPr>
          <w:rFonts w:ascii="Times New Roman"/>
          <w:b/>
          <w:i w:val="false"/>
          <w:color w:val="000000"/>
          <w:sz w:val="28"/>
        </w:rPr>
        <w:t>согласно Общему классификатору видов экономической деятельности (ОКЭД)</w:t>
      </w:r>
    </w:p>
    <w:p>
      <w:pPr>
        <w:spacing w:after="0"/>
        <w:ind w:left="0"/>
        <w:jc w:val="both"/>
      </w:pPr>
      <w:r>
        <w:rPr>
          <w:rFonts w:ascii="Times New Roman"/>
          <w:b/>
          <w:i w:val="false"/>
          <w:color w:val="000000"/>
          <w:sz w:val="28"/>
        </w:rPr>
        <w:t>3. Кәсіпорынның шығыстары туралы ақпаратты көрсетіңіз, мың теңге</w:t>
      </w:r>
    </w:p>
    <w:p>
      <w:pPr>
        <w:spacing w:after="0"/>
        <w:ind w:left="0"/>
        <w:jc w:val="both"/>
      </w:pPr>
      <w:r>
        <w:rPr>
          <w:rFonts w:ascii="Times New Roman"/>
          <w:b w:val="false"/>
          <w:i w:val="false"/>
          <w:color w:val="000000"/>
          <w:sz w:val="28"/>
        </w:rPr>
        <w:t>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барлығы</w:t>
            </w:r>
          </w:p>
          <w:p>
            <w:pPr>
              <w:spacing w:after="20"/>
              <w:ind w:left="20"/>
              <w:jc w:val="both"/>
            </w:pPr>
            <w:r>
              <w:rPr>
                <w:rFonts w:ascii="Times New Roman"/>
                <w:b w:val="false"/>
                <w:i w:val="false"/>
                <w:color w:val="000000"/>
                <w:sz w:val="20"/>
              </w:rPr>
              <w:t>
Расходы,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тұлғаларға әлеуметтік және қайырымдылық көмек</w:t>
            </w:r>
          </w:p>
          <w:p>
            <w:pPr>
              <w:spacing w:after="20"/>
              <w:ind w:left="20"/>
              <w:jc w:val="both"/>
            </w:pPr>
            <w:r>
              <w:rPr>
                <w:rFonts w:ascii="Times New Roman"/>
                <w:b w:val="false"/>
                <w:i w:val="false"/>
                <w:color w:val="000000"/>
                <w:sz w:val="20"/>
              </w:rPr>
              <w:t>
Социальная и благотворительная помощь физическим лицам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ақшалай мәнде</w:t>
            </w:r>
          </w:p>
          <w:p>
            <w:pPr>
              <w:spacing w:after="20"/>
              <w:ind w:left="20"/>
              <w:jc w:val="both"/>
            </w:pPr>
            <w:r>
              <w:rPr>
                <w:rFonts w:ascii="Times New Roman"/>
                <w:b w:val="false"/>
                <w:i w:val="false"/>
                <w:color w:val="000000"/>
                <w:sz w:val="20"/>
              </w:rPr>
              <w:t>
в денежном выражении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заттайны санда</w:t>
            </w:r>
          </w:p>
          <w:p>
            <w:pPr>
              <w:spacing w:after="20"/>
              <w:ind w:left="20"/>
              <w:jc w:val="both"/>
            </w:pPr>
            <w:r>
              <w:rPr>
                <w:rFonts w:ascii="Times New Roman"/>
                <w:b w:val="false"/>
                <w:i w:val="false"/>
                <w:color w:val="000000"/>
                <w:sz w:val="20"/>
              </w:rPr>
              <w:t>
в натуральной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қорлар өтелімі</w:t>
            </w:r>
          </w:p>
          <w:p>
            <w:pPr>
              <w:spacing w:after="20"/>
              <w:ind w:left="20"/>
              <w:jc w:val="both"/>
            </w:pPr>
            <w:r>
              <w:rPr>
                <w:rFonts w:ascii="Times New Roman"/>
                <w:b w:val="false"/>
                <w:i w:val="false"/>
                <w:color w:val="000000"/>
                <w:sz w:val="20"/>
              </w:rPr>
              <w:t>
Амортизация основных фондов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шығыстар</w:t>
            </w:r>
          </w:p>
          <w:p>
            <w:pPr>
              <w:spacing w:after="20"/>
              <w:ind w:left="20"/>
              <w:jc w:val="both"/>
            </w:pPr>
            <w:r>
              <w:rPr>
                <w:rFonts w:ascii="Times New Roman"/>
                <w:b w:val="false"/>
                <w:i w:val="false"/>
                <w:color w:val="000000"/>
                <w:sz w:val="20"/>
              </w:rPr>
              <w:t>
Прочие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 w:id="16"/>
      <w:r>
        <w:rPr>
          <w:rFonts w:ascii="Times New Roman"/>
          <w:b w:val="false"/>
          <w:i w:val="false"/>
          <w:color w:val="000000"/>
          <w:sz w:val="28"/>
        </w:rPr>
        <w:t xml:space="preserve">
      </w:t>
      </w:r>
      <w:r>
        <w:rPr>
          <w:rFonts w:ascii="Times New Roman"/>
          <w:b/>
          <w:i w:val="false"/>
          <w:color w:val="000000"/>
          <w:sz w:val="28"/>
        </w:rPr>
        <w:t>4. Бухгалтерлік баланс көрсеткіштері бойынша ақпаратты көрсетіңіз, мың теңге</w:t>
      </w:r>
    </w:p>
    <w:bookmarkEnd w:id="16"/>
    <w:p>
      <w:pPr>
        <w:spacing w:after="0"/>
        <w:ind w:left="0"/>
        <w:jc w:val="both"/>
      </w:pPr>
      <w:r>
        <w:rPr>
          <w:rFonts w:ascii="Times New Roman"/>
          <w:b w:val="false"/>
          <w:i w:val="false"/>
          <w:color w:val="000000"/>
          <w:sz w:val="28"/>
        </w:rPr>
        <w:t>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w:t>
            </w:r>
          </w:p>
          <w:p>
            <w:pPr>
              <w:spacing w:after="20"/>
              <w:ind w:left="20"/>
              <w:jc w:val="both"/>
            </w:pPr>
            <w:r>
              <w:rPr>
                <w:rFonts w:ascii="Times New Roman"/>
                <w:b w:val="false"/>
                <w:i w:val="false"/>
                <w:color w:val="000000"/>
                <w:sz w:val="20"/>
              </w:rPr>
              <w:t>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w:t>
            </w:r>
          </w:p>
          <w:p>
            <w:pPr>
              <w:spacing w:after="20"/>
              <w:ind w:left="20"/>
              <w:jc w:val="both"/>
            </w:pPr>
            <w:r>
              <w:rPr>
                <w:rFonts w:ascii="Times New Roman"/>
                <w:b w:val="false"/>
                <w:i w:val="false"/>
                <w:color w:val="000000"/>
                <w:sz w:val="20"/>
              </w:rPr>
              <w:t>
На начало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 (АКТИВТЕР)</w:t>
            </w:r>
          </w:p>
          <w:p>
            <w:pPr>
              <w:spacing w:after="20"/>
              <w:ind w:left="20"/>
              <w:jc w:val="both"/>
            </w:pPr>
            <w:r>
              <w:rPr>
                <w:rFonts w:ascii="Times New Roman"/>
                <w:b w:val="false"/>
                <w:i w:val="false"/>
                <w:color w:val="000000"/>
                <w:sz w:val="20"/>
              </w:rPr>
              <w:t>
БАЛАНС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w:t>
            </w:r>
          </w:p>
          <w:p>
            <w:pPr>
              <w:spacing w:after="20"/>
              <w:ind w:left="20"/>
              <w:jc w:val="both"/>
            </w:pPr>
            <w:r>
              <w:rPr>
                <w:rFonts w:ascii="Times New Roman"/>
                <w:b w:val="false"/>
                <w:i w:val="false"/>
                <w:color w:val="000000"/>
                <w:sz w:val="20"/>
              </w:rPr>
              <w:t xml:space="preserve">
Денежные средства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кассадағы ақшалай қаражат</w:t>
            </w:r>
          </w:p>
          <w:p>
            <w:pPr>
              <w:spacing w:after="20"/>
              <w:ind w:left="20"/>
              <w:jc w:val="both"/>
            </w:pPr>
            <w:r>
              <w:rPr>
                <w:rFonts w:ascii="Times New Roman"/>
                <w:b w:val="false"/>
                <w:i w:val="false"/>
                <w:color w:val="000000"/>
                <w:sz w:val="20"/>
              </w:rPr>
              <w:t xml:space="preserve">
денежные средства в кассе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банк шоттарындағы ақшалай қаражат</w:t>
            </w:r>
          </w:p>
          <w:p>
            <w:pPr>
              <w:spacing w:after="20"/>
              <w:ind w:left="20"/>
              <w:jc w:val="both"/>
            </w:pPr>
            <w:r>
              <w:rPr>
                <w:rFonts w:ascii="Times New Roman"/>
                <w:b w:val="false"/>
                <w:i w:val="false"/>
                <w:color w:val="000000"/>
                <w:sz w:val="20"/>
              </w:rPr>
              <w:t>
денежные средства на текущих банковских счетах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ақшалай қаражат</w:t>
            </w:r>
          </w:p>
          <w:p>
            <w:pPr>
              <w:spacing w:after="20"/>
              <w:ind w:left="20"/>
              <w:jc w:val="both"/>
            </w:pPr>
            <w:r>
              <w:rPr>
                <w:rFonts w:ascii="Times New Roman"/>
                <w:b w:val="false"/>
                <w:i w:val="false"/>
                <w:color w:val="000000"/>
                <w:sz w:val="20"/>
              </w:rPr>
              <w:t xml:space="preserve">
прочие денежные средства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дедебиторлық берешек</w:t>
            </w:r>
          </w:p>
          <w:p>
            <w:pPr>
              <w:spacing w:after="20"/>
              <w:ind w:left="20"/>
              <w:jc w:val="both"/>
            </w:pPr>
            <w:r>
              <w:rPr>
                <w:rFonts w:ascii="Times New Roman"/>
                <w:b w:val="false"/>
                <w:i w:val="false"/>
                <w:color w:val="000000"/>
                <w:sz w:val="20"/>
              </w:rPr>
              <w:t>
Прочая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Запастар</w:t>
            </w:r>
          </w:p>
          <w:p>
            <w:pPr>
              <w:spacing w:after="20"/>
              <w:ind w:left="20"/>
              <w:jc w:val="both"/>
            </w:pPr>
            <w:r>
              <w:rPr>
                <w:rFonts w:ascii="Times New Roman"/>
                <w:b w:val="false"/>
                <w:i w:val="false"/>
                <w:color w:val="000000"/>
                <w:sz w:val="20"/>
              </w:rPr>
              <w:t xml:space="preserve">
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 (ПАССИВТЕР)</w:t>
            </w:r>
          </w:p>
          <w:p>
            <w:pPr>
              <w:spacing w:after="20"/>
              <w:ind w:left="20"/>
              <w:jc w:val="both"/>
            </w:pPr>
            <w:r>
              <w:rPr>
                <w:rFonts w:ascii="Times New Roman"/>
                <w:b w:val="false"/>
                <w:i w:val="false"/>
                <w:color w:val="000000"/>
                <w:sz w:val="20"/>
              </w:rPr>
              <w:t>
БАЛАНС (ПАССИВЫ)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Салықтар бойынша міндеттемелер</w:t>
            </w:r>
          </w:p>
          <w:p>
            <w:pPr>
              <w:spacing w:after="20"/>
              <w:ind w:left="20"/>
              <w:jc w:val="both"/>
            </w:pPr>
            <w:r>
              <w:rPr>
                <w:rFonts w:ascii="Times New Roman"/>
                <w:b w:val="false"/>
                <w:i w:val="false"/>
                <w:color w:val="000000"/>
                <w:sz w:val="20"/>
              </w:rPr>
              <w:t>
Обязательства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кредиторлық берешек</w:t>
            </w:r>
          </w:p>
          <w:p>
            <w:pPr>
              <w:spacing w:after="20"/>
              <w:ind w:left="20"/>
              <w:jc w:val="both"/>
            </w:pPr>
            <w:r>
              <w:rPr>
                <w:rFonts w:ascii="Times New Roman"/>
                <w:b w:val="false"/>
                <w:i w:val="false"/>
                <w:color w:val="000000"/>
                <w:sz w:val="20"/>
              </w:rPr>
              <w:t>
Прочая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Резервтер</w:t>
            </w:r>
          </w:p>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 w:id="17"/>
      <w:r>
        <w:rPr>
          <w:rFonts w:ascii="Times New Roman"/>
          <w:b w:val="false"/>
          <w:i w:val="false"/>
          <w:color w:val="000000"/>
          <w:sz w:val="28"/>
        </w:rPr>
        <w:t xml:space="preserve">
      </w:t>
      </w:r>
      <w:r>
        <w:rPr>
          <w:rFonts w:ascii="Times New Roman"/>
          <w:b/>
          <w:i w:val="false"/>
          <w:color w:val="000000"/>
          <w:sz w:val="28"/>
        </w:rPr>
        <w:t>5. Негізгі қорлардың қолда бары және қозғалысы туралы ақпаратты көрсетіңіз, мың теңге. (94.91.0 қызмет түрі бар респонденттер толтырады)</w:t>
      </w:r>
    </w:p>
    <w:bookmarkEnd w:id="17"/>
    <w:p>
      <w:pPr>
        <w:spacing w:after="0"/>
        <w:ind w:left="0"/>
        <w:jc w:val="both"/>
      </w:pPr>
      <w:r>
        <w:rPr>
          <w:rFonts w:ascii="Times New Roman"/>
          <w:b w:val="false"/>
          <w:i w:val="false"/>
          <w:color w:val="000000"/>
          <w:sz w:val="28"/>
        </w:rPr>
        <w:t>Укажите информацию о наличии и движении основных фондов, тысяч тенге. (Заполняются респондентами с видом деятельности 94.91.0)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түскені</w:t>
            </w:r>
          </w:p>
          <w:p>
            <w:pPr>
              <w:spacing w:after="20"/>
              <w:ind w:left="20"/>
              <w:jc w:val="both"/>
            </w:pPr>
            <w:r>
              <w:rPr>
                <w:rFonts w:ascii="Times New Roman"/>
                <w:b w:val="false"/>
                <w:i w:val="false"/>
                <w:color w:val="000000"/>
                <w:sz w:val="20"/>
              </w:rPr>
              <w:t>
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істен шыққаны</w:t>
            </w:r>
          </w:p>
          <w:p>
            <w:pPr>
              <w:spacing w:after="20"/>
              <w:ind w:left="20"/>
              <w:jc w:val="both"/>
            </w:pPr>
            <w:r>
              <w:rPr>
                <w:rFonts w:ascii="Times New Roman"/>
                <w:b w:val="false"/>
                <w:i w:val="false"/>
                <w:color w:val="000000"/>
                <w:sz w:val="20"/>
              </w:rPr>
              <w:t>
Выбыло в отчетном году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первоначальной стоимости на конец года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баланстық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негізгі қорлардың іске қосылғаны</w:t>
            </w:r>
          </w:p>
          <w:p>
            <w:pPr>
              <w:spacing w:after="20"/>
              <w:ind w:left="20"/>
              <w:jc w:val="both"/>
            </w:pPr>
            <w:r>
              <w:rPr>
                <w:rFonts w:ascii="Times New Roman"/>
                <w:b w:val="false"/>
                <w:i w:val="false"/>
                <w:color w:val="000000"/>
                <w:sz w:val="20"/>
              </w:rPr>
              <w:t>
введено в действие новых основных фондов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бағалау есебінен</w:t>
            </w:r>
          </w:p>
          <w:p>
            <w:pPr>
              <w:spacing w:after="20"/>
              <w:ind w:left="20"/>
              <w:jc w:val="both"/>
            </w:pPr>
            <w:r>
              <w:rPr>
                <w:rFonts w:ascii="Times New Roman"/>
                <w:b w:val="false"/>
                <w:i w:val="false"/>
                <w:color w:val="000000"/>
                <w:sz w:val="20"/>
              </w:rPr>
              <w:t>
за счет переоценки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себептер бойынша</w:t>
            </w:r>
          </w:p>
          <w:p>
            <w:pPr>
              <w:spacing w:after="20"/>
              <w:ind w:left="20"/>
              <w:jc w:val="both"/>
            </w:pPr>
            <w:r>
              <w:rPr>
                <w:rFonts w:ascii="Times New Roman"/>
                <w:b w:val="false"/>
                <w:i w:val="false"/>
                <w:color w:val="000000"/>
                <w:sz w:val="20"/>
              </w:rPr>
              <w:t>
по прочим причинам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қорлардың есептен шығарылғаны</w:t>
            </w:r>
          </w:p>
          <w:p>
            <w:pPr>
              <w:spacing w:after="20"/>
              <w:ind w:left="20"/>
              <w:jc w:val="both"/>
            </w:pPr>
            <w:r>
              <w:rPr>
                <w:rFonts w:ascii="Times New Roman"/>
                <w:b w:val="false"/>
                <w:i w:val="false"/>
                <w:color w:val="000000"/>
                <w:sz w:val="20"/>
              </w:rPr>
              <w:t>
списано основных фондов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бағалау есебінен</w:t>
            </w:r>
          </w:p>
          <w:p>
            <w:pPr>
              <w:spacing w:after="20"/>
              <w:ind w:left="20"/>
              <w:jc w:val="both"/>
            </w:pPr>
            <w:r>
              <w:rPr>
                <w:rFonts w:ascii="Times New Roman"/>
                <w:b w:val="false"/>
                <w:i w:val="false"/>
                <w:color w:val="000000"/>
                <w:sz w:val="20"/>
              </w:rPr>
              <w:t>
за счет переоценки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себептер бойынша</w:t>
            </w:r>
          </w:p>
          <w:p>
            <w:pPr>
              <w:spacing w:after="20"/>
              <w:ind w:left="20"/>
              <w:jc w:val="both"/>
            </w:pPr>
            <w:r>
              <w:rPr>
                <w:rFonts w:ascii="Times New Roman"/>
                <w:b w:val="false"/>
                <w:i w:val="false"/>
                <w:color w:val="000000"/>
                <w:sz w:val="20"/>
              </w:rPr>
              <w:t>
по прочим причинам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салдарынан</w:t>
            </w:r>
          </w:p>
          <w:p>
            <w:pPr>
              <w:spacing w:after="20"/>
              <w:ind w:left="20"/>
              <w:jc w:val="both"/>
            </w:pPr>
            <w:r>
              <w:rPr>
                <w:rFonts w:ascii="Times New Roman"/>
                <w:b w:val="false"/>
                <w:i w:val="false"/>
                <w:color w:val="000000"/>
                <w:sz w:val="20"/>
              </w:rPr>
              <w:t>
в результате чрезвычайных ситуаций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тәркілеу бойынша</w:t>
            </w:r>
          </w:p>
          <w:p>
            <w:pPr>
              <w:spacing w:after="20"/>
              <w:ind w:left="20"/>
              <w:jc w:val="both"/>
            </w:pPr>
            <w:r>
              <w:rPr>
                <w:rFonts w:ascii="Times New Roman"/>
                <w:b w:val="false"/>
                <w:i w:val="false"/>
                <w:color w:val="000000"/>
                <w:sz w:val="20"/>
              </w:rPr>
              <w:t>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қорлардың барлығы</w:t>
            </w:r>
          </w:p>
          <w:p>
            <w:pPr>
              <w:spacing w:after="20"/>
              <w:ind w:left="20"/>
              <w:jc w:val="both"/>
            </w:pPr>
            <w:r>
              <w:rPr>
                <w:rFonts w:ascii="Times New Roman"/>
                <w:b w:val="false"/>
                <w:i w:val="false"/>
                <w:color w:val="000000"/>
                <w:sz w:val="20"/>
              </w:rPr>
              <w:t>
Всего основных фондов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w:t>
            </w:r>
          </w:p>
          <w:p>
            <w:pPr>
              <w:spacing w:after="20"/>
              <w:ind w:left="20"/>
              <w:jc w:val="both"/>
            </w:pPr>
            <w:r>
              <w:rPr>
                <w:rFonts w:ascii="Times New Roman"/>
                <w:b w:val="false"/>
                <w:i w:val="false"/>
                <w:color w:val="000000"/>
                <w:sz w:val="20"/>
              </w:rPr>
              <w:t>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ғимараттар</w:t>
            </w:r>
          </w:p>
          <w:p>
            <w:pPr>
              <w:spacing w:after="20"/>
              <w:ind w:left="20"/>
              <w:jc w:val="both"/>
            </w:pPr>
            <w:r>
              <w:rPr>
                <w:rFonts w:ascii="Times New Roman"/>
                <w:b w:val="false"/>
                <w:i w:val="false"/>
                <w:color w:val="000000"/>
                <w:sz w:val="20"/>
              </w:rPr>
              <w:t>
Жилые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емес ғимараттар</w:t>
            </w:r>
          </w:p>
          <w:p>
            <w:pPr>
              <w:spacing w:after="20"/>
              <w:ind w:left="20"/>
              <w:jc w:val="both"/>
            </w:pPr>
            <w:r>
              <w:rPr>
                <w:rFonts w:ascii="Times New Roman"/>
                <w:b w:val="false"/>
                <w:i w:val="false"/>
                <w:color w:val="000000"/>
                <w:sz w:val="20"/>
              </w:rPr>
              <w:t>
Нежилые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p>
          <w:p>
            <w:pPr>
              <w:spacing w:after="20"/>
              <w:ind w:left="20"/>
              <w:jc w:val="both"/>
            </w:pPr>
            <w:r>
              <w:rPr>
                <w:rFonts w:ascii="Times New Roman"/>
                <w:b w:val="false"/>
                <w:i w:val="false"/>
                <w:color w:val="000000"/>
                <w:sz w:val="20"/>
              </w:rPr>
              <w:t>
Сооружения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 мен жабдықтар</w:t>
            </w:r>
          </w:p>
          <w:p>
            <w:pPr>
              <w:spacing w:after="20"/>
              <w:ind w:left="20"/>
              <w:jc w:val="both"/>
            </w:pPr>
            <w:r>
              <w:rPr>
                <w:rFonts w:ascii="Times New Roman"/>
                <w:b w:val="false"/>
                <w:i w:val="false"/>
                <w:color w:val="000000"/>
                <w:sz w:val="20"/>
              </w:rPr>
              <w:t>
Машины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активтер (зияткерлік меншік өнімдері)</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r>
              <w:rPr>
                <w:rFonts w:ascii="Times New Roman"/>
                <w:b w:val="false"/>
                <w:i w:val="false"/>
                <w:color w:val="000000"/>
                <w:sz w:val="20"/>
              </w:rPr>
              <w:t xml:space="preserve"> _______________________________</w:t>
            </w:r>
          </w:p>
          <w:p>
            <w:pPr>
              <w:spacing w:after="20"/>
              <w:ind w:left="20"/>
              <w:jc w:val="both"/>
            </w:pPr>
            <w:r>
              <w:rPr>
                <w:rFonts w:ascii="Times New Roman"/>
                <w:b w:val="false"/>
                <w:i w:val="false"/>
                <w:color w:val="000000"/>
                <w:sz w:val="20"/>
              </w:rPr>
              <w:t>Наименование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 (респонденттің)</w:t>
            </w:r>
          </w:p>
          <w:p>
            <w:pPr>
              <w:spacing w:after="20"/>
              <w:ind w:left="20"/>
              <w:jc w:val="both"/>
            </w:pPr>
            <w:r>
              <w:rPr>
                <w:rFonts w:ascii="Times New Roman"/>
                <w:b w:val="false"/>
                <w:i w:val="false"/>
                <w:color w:val="000000"/>
                <w:sz w:val="20"/>
              </w:rPr>
              <w:t>Адрес (респондента) __________________</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 (респонденттің)</w:t>
            </w:r>
          </w:p>
          <w:p>
            <w:pPr>
              <w:spacing w:after="20"/>
              <w:ind w:left="20"/>
              <w:jc w:val="both"/>
            </w:pPr>
            <w:r>
              <w:rPr>
                <w:rFonts w:ascii="Times New Roman"/>
                <w:b w:val="false"/>
                <w:i w:val="false"/>
                <w:color w:val="000000"/>
                <w:sz w:val="20"/>
              </w:rPr>
              <w:t>
Телефон (респондента)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i w:val="false"/>
                <w:color w:val="000000"/>
                <w:sz w:val="20"/>
              </w:rPr>
              <w:t>стационарлық</w:t>
            </w:r>
          </w:p>
          <w:p>
            <w:pPr>
              <w:spacing w:after="20"/>
              <w:ind w:left="20"/>
              <w:jc w:val="both"/>
            </w:pPr>
            <w:r>
              <w:rPr>
                <w:rFonts w:ascii="Times New Roman"/>
                <w:b w:val="false"/>
                <w:i w:val="false"/>
                <w:color w:val="000000"/>
                <w:sz w:val="20"/>
              </w:rPr>
              <w:t>стационарный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i w:val="false"/>
                <w:color w:val="000000"/>
                <w:sz w:val="20"/>
              </w:rPr>
              <w:t>ұялы</w:t>
            </w:r>
          </w:p>
          <w:p>
            <w:pPr>
              <w:spacing w:after="20"/>
              <w:ind w:left="20"/>
              <w:jc w:val="both"/>
            </w:pPr>
            <w:r>
              <w:rPr>
                <w:rFonts w:ascii="Times New Roman"/>
                <w:b w:val="false"/>
                <w:i w:val="false"/>
                <w:color w:val="000000"/>
                <w:sz w:val="20"/>
              </w:rPr>
              <w:t>мобильный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p>
          <w:p>
            <w:pPr>
              <w:spacing w:after="20"/>
              <w:ind w:left="20"/>
              <w:jc w:val="both"/>
            </w:pPr>
            <w:r>
              <w:rPr>
                <w:rFonts w:ascii="Times New Roman"/>
                <w:b w:val="false"/>
                <w:i w:val="false"/>
                <w:color w:val="000000"/>
                <w:sz w:val="20"/>
              </w:rPr>
              <w:t>Адрес электронной почты (респондента) 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w:t>
            </w:r>
          </w:p>
          <w:p>
            <w:pPr>
              <w:spacing w:after="20"/>
              <w:ind w:left="20"/>
              <w:jc w:val="both"/>
            </w:pPr>
            <w:r>
              <w:rPr>
                <w:rFonts w:ascii="Times New Roman"/>
                <w:b/>
                <w:i w:val="false"/>
                <w:color w:val="000000"/>
                <w:sz w:val="20"/>
              </w:rPr>
              <w:t>тегі, аты және әкесінің аты (бар болған жағдайда)</w:t>
            </w:r>
          </w:p>
          <w:p>
            <w:pPr>
              <w:spacing w:after="20"/>
              <w:ind w:left="20"/>
              <w:jc w:val="both"/>
            </w:pPr>
            <w:r>
              <w:rPr>
                <w:rFonts w:ascii="Times New Roman"/>
                <w:b w:val="false"/>
                <w:i w:val="false"/>
                <w:color w:val="000000"/>
                <w:sz w:val="20"/>
              </w:rPr>
              <w:t>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i w:val="false"/>
                <w:color w:val="000000"/>
                <w:sz w:val="20"/>
              </w:rPr>
              <w:t>қолы, телефоны (орындаушының)</w:t>
            </w:r>
          </w:p>
          <w:p>
            <w:pPr>
              <w:spacing w:after="20"/>
              <w:ind w:left="20"/>
              <w:jc w:val="both"/>
            </w:pPr>
            <w:r>
              <w:rPr>
                <w:rFonts w:ascii="Times New Roman"/>
                <w:b w:val="false"/>
                <w:i w:val="false"/>
                <w:color w:val="000000"/>
                <w:sz w:val="20"/>
              </w:rPr>
              <w:t>подпись, телефон (исполнителя)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 немесе оның</w:t>
            </w:r>
          </w:p>
          <w:p>
            <w:pPr>
              <w:spacing w:after="20"/>
              <w:ind w:left="20"/>
              <w:jc w:val="both"/>
            </w:pPr>
            <w:r>
              <w:rPr>
                <w:rFonts w:ascii="Times New Roman"/>
                <w:b/>
                <w:i w:val="false"/>
                <w:color w:val="000000"/>
                <w:sz w:val="20"/>
              </w:rPr>
              <w:t>міндетін атқарушы тұлға</w:t>
            </w:r>
          </w:p>
          <w:p>
            <w:pPr>
              <w:spacing w:after="20"/>
              <w:ind w:left="20"/>
              <w:jc w:val="both"/>
            </w:pPr>
            <w:r>
              <w:rPr>
                <w:rFonts w:ascii="Times New Roman"/>
                <w:b w:val="false"/>
                <w:i w:val="false"/>
                <w:color w:val="000000"/>
                <w:sz w:val="20"/>
              </w:rPr>
              <w:t>Главный бухгалтер или лицо,</w:t>
            </w:r>
          </w:p>
          <w:p>
            <w:pPr>
              <w:spacing w:after="20"/>
              <w:ind w:left="20"/>
              <w:jc w:val="both"/>
            </w:pPr>
            <w:r>
              <w:rPr>
                <w:rFonts w:ascii="Times New Roman"/>
                <w:b w:val="false"/>
                <w:i w:val="false"/>
                <w:color w:val="000000"/>
                <w:sz w:val="20"/>
              </w:rPr>
              <w:t>исполняющее его обязанности __________________________________</w:t>
            </w:r>
          </w:p>
          <w:p>
            <w:pPr>
              <w:spacing w:after="20"/>
              <w:ind w:left="20"/>
              <w:jc w:val="both"/>
            </w:pPr>
            <w:r>
              <w:rPr>
                <w:rFonts w:ascii="Times New Roman"/>
                <w:b/>
                <w:i w:val="false"/>
                <w:color w:val="000000"/>
                <w:sz w:val="20"/>
              </w:rPr>
              <w:t>тегі, аты және әкесінің аты (бар болған жағдайда)</w:t>
            </w:r>
          </w:p>
          <w:p>
            <w:pPr>
              <w:spacing w:after="20"/>
              <w:ind w:left="20"/>
              <w:jc w:val="both"/>
            </w:pPr>
            <w:r>
              <w:rPr>
                <w:rFonts w:ascii="Times New Roman"/>
                <w:b w:val="false"/>
                <w:i w:val="false"/>
                <w:color w:val="000000"/>
                <w:sz w:val="20"/>
              </w:rPr>
              <w:t>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w:t>
            </w:r>
          </w:p>
          <w:p>
            <w:pPr>
              <w:spacing w:after="20"/>
              <w:ind w:left="20"/>
              <w:jc w:val="both"/>
            </w:pPr>
            <w:r>
              <w:rPr>
                <w:rFonts w:ascii="Times New Roman"/>
                <w:b/>
                <w:i w:val="false"/>
                <w:color w:val="000000"/>
                <w:sz w:val="20"/>
              </w:rPr>
              <w:t>міндетін атқарушы тұлға</w:t>
            </w:r>
          </w:p>
          <w:p>
            <w:pPr>
              <w:spacing w:after="20"/>
              <w:ind w:left="20"/>
              <w:jc w:val="both"/>
            </w:pPr>
            <w:r>
              <w:rPr>
                <w:rFonts w:ascii="Times New Roman"/>
                <w:b w:val="false"/>
                <w:i w:val="false"/>
                <w:color w:val="000000"/>
                <w:sz w:val="20"/>
              </w:rPr>
              <w:t>Руководитель или лицо,</w:t>
            </w:r>
          </w:p>
          <w:p>
            <w:pPr>
              <w:spacing w:after="20"/>
              <w:ind w:left="20"/>
              <w:jc w:val="both"/>
            </w:pPr>
            <w:r>
              <w:rPr>
                <w:rFonts w:ascii="Times New Roman"/>
                <w:b w:val="false"/>
                <w:i w:val="false"/>
                <w:color w:val="000000"/>
                <w:sz w:val="20"/>
              </w:rPr>
              <w:t>исполняющее его обязанности __________________________________</w:t>
            </w:r>
          </w:p>
          <w:p>
            <w:pPr>
              <w:spacing w:after="20"/>
              <w:ind w:left="20"/>
              <w:jc w:val="both"/>
            </w:pPr>
            <w:r>
              <w:rPr>
                <w:rFonts w:ascii="Times New Roman"/>
                <w:b/>
                <w:i w:val="false"/>
                <w:color w:val="000000"/>
                <w:sz w:val="20"/>
              </w:rPr>
              <w:t>тегі, аты және әкесінің аты (бар болған жағдайда)</w:t>
            </w:r>
          </w:p>
          <w:p>
            <w:pPr>
              <w:spacing w:after="20"/>
              <w:ind w:left="20"/>
              <w:jc w:val="both"/>
            </w:pPr>
            <w:r>
              <w:rPr>
                <w:rFonts w:ascii="Times New Roman"/>
                <w:b w:val="false"/>
                <w:i w:val="false"/>
                <w:color w:val="000000"/>
                <w:sz w:val="20"/>
              </w:rPr>
              <w:t>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tc>
      </w:tr>
    </w:tbl>
    <w:p>
      <w:pPr>
        <w:spacing w:after="0"/>
        <w:ind w:left="0"/>
        <w:jc w:val="both"/>
      </w:pPr>
      <w:bookmarkStart w:name="z107" w:id="18"/>
      <w:r>
        <w:rPr>
          <w:rFonts w:ascii="Times New Roman"/>
          <w:b w:val="false"/>
          <w:i w:val="false"/>
          <w:color w:val="000000"/>
          <w:sz w:val="28"/>
        </w:rPr>
        <w:t xml:space="preserve">
      </w:t>
      </w:r>
      <w:r>
        <w:rPr>
          <w:rFonts w:ascii="Times New Roman"/>
          <w:b/>
          <w:i w:val="false"/>
          <w:color w:val="000000"/>
          <w:sz w:val="28"/>
        </w:rPr>
        <w:t>Ескертпе:</w:t>
      </w:r>
    </w:p>
    <w:bookmarkEnd w:id="18"/>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2022 года № 23</w:t>
            </w:r>
          </w:p>
        </w:tc>
      </w:tr>
    </w:tbl>
    <w:bookmarkStart w:name="z109" w:id="1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"Единовременное обследование некоммерческих организаций"</w:t>
      </w:r>
      <w:r>
        <w:br/>
      </w:r>
      <w:r>
        <w:rPr>
          <w:rFonts w:ascii="Times New Roman"/>
          <w:b/>
          <w:i w:val="false"/>
          <w:color w:val="000000"/>
        </w:rPr>
        <w:t>(индекс 1-НКО, периодичность единовременная)</w:t>
      </w:r>
    </w:p>
    <w:bookmarkEnd w:id="19"/>
    <w:bookmarkStart w:name="z110" w:id="20"/>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"Единовременное обследование некоммерческих организаций" (индекс 1-НКО, периодичность единовременная) (далее – статистическая форма).</w:t>
      </w:r>
    </w:p>
    <w:bookmarkEnd w:id="20"/>
    <w:bookmarkStart w:name="z111" w:id="21"/>
    <w:p>
      <w:pPr>
        <w:spacing w:after="0"/>
        <w:ind w:left="0"/>
        <w:jc w:val="both"/>
      </w:pPr>
      <w:r>
        <w:rPr>
          <w:rFonts w:ascii="Times New Roman"/>
          <w:b w:val="false"/>
          <w:i w:val="false"/>
          <w:color w:val="000000"/>
          <w:sz w:val="28"/>
        </w:rPr>
        <w:t>
      2. Статистическую форму представляют юридические лица, осуществляющие некоммерческую деятельность (учреждения, политические партии, профсоюзные организации, общественные объединения, фонды, религиозные объединения, их иностранные филиалы).</w:t>
      </w:r>
    </w:p>
    <w:bookmarkEnd w:id="21"/>
    <w:bookmarkStart w:name="z112" w:id="22"/>
    <w:p>
      <w:pPr>
        <w:spacing w:after="0"/>
        <w:ind w:left="0"/>
        <w:jc w:val="both"/>
      </w:pPr>
      <w:r>
        <w:rPr>
          <w:rFonts w:ascii="Times New Roman"/>
          <w:b w:val="false"/>
          <w:i w:val="false"/>
          <w:color w:val="000000"/>
          <w:sz w:val="28"/>
        </w:rPr>
        <w:t>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2"/>
    <w:bookmarkStart w:name="z113" w:id="23"/>
    <w:p>
      <w:pPr>
        <w:spacing w:after="0"/>
        <w:ind w:left="0"/>
        <w:jc w:val="both"/>
      </w:pPr>
      <w:r>
        <w:rPr>
          <w:rFonts w:ascii="Times New Roman"/>
          <w:b w:val="false"/>
          <w:i w:val="false"/>
          <w:color w:val="000000"/>
          <w:sz w:val="28"/>
        </w:rPr>
        <w:t xml:space="preserve">
      3. Некоммерческие организации заполняют сведения по форме на основе первичных документов, сметы доходов и расходов, документов бухгалтерского и налогового учета. </w:t>
      </w:r>
    </w:p>
    <w:bookmarkEnd w:id="23"/>
    <w:bookmarkStart w:name="z114" w:id="24"/>
    <w:p>
      <w:pPr>
        <w:spacing w:after="0"/>
        <w:ind w:left="0"/>
        <w:jc w:val="both"/>
      </w:pPr>
      <w:r>
        <w:rPr>
          <w:rFonts w:ascii="Times New Roman"/>
          <w:b w:val="false"/>
          <w:i w:val="false"/>
          <w:color w:val="000000"/>
          <w:sz w:val="28"/>
        </w:rPr>
        <w:t>
      В разделе 2 указываются доходы, полученные за отчетный период.</w:t>
      </w:r>
    </w:p>
    <w:bookmarkEnd w:id="24"/>
    <w:bookmarkStart w:name="z115" w:id="25"/>
    <w:p>
      <w:pPr>
        <w:spacing w:after="0"/>
        <w:ind w:left="0"/>
        <w:jc w:val="both"/>
      </w:pPr>
      <w:r>
        <w:rPr>
          <w:rFonts w:ascii="Times New Roman"/>
          <w:b w:val="false"/>
          <w:i w:val="false"/>
          <w:color w:val="000000"/>
          <w:sz w:val="28"/>
        </w:rPr>
        <w:t>
      По строке 1.1 раздела 2 указываются регулярные и единовременные поступления от учредителей (участников, членов); добровольные имущественные взносы и пожертвования; вступительные взносы в виде спонсорских пожертвований, гуманитарной помощи и других безвозмездных поступлений.</w:t>
      </w:r>
    </w:p>
    <w:bookmarkEnd w:id="25"/>
    <w:bookmarkStart w:name="z116" w:id="26"/>
    <w:p>
      <w:pPr>
        <w:spacing w:after="0"/>
        <w:ind w:left="0"/>
        <w:jc w:val="both"/>
      </w:pPr>
      <w:r>
        <w:rPr>
          <w:rFonts w:ascii="Times New Roman"/>
          <w:b w:val="false"/>
          <w:i w:val="false"/>
          <w:color w:val="000000"/>
          <w:sz w:val="28"/>
        </w:rPr>
        <w:t>
      По строке 1.2 раздела 2 в прочих доходах указываются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w:t>
      </w:r>
    </w:p>
    <w:bookmarkEnd w:id="26"/>
    <w:bookmarkStart w:name="z117" w:id="27"/>
    <w:p>
      <w:pPr>
        <w:spacing w:after="0"/>
        <w:ind w:left="0"/>
        <w:jc w:val="both"/>
      </w:pPr>
      <w:r>
        <w:rPr>
          <w:rFonts w:ascii="Times New Roman"/>
          <w:b w:val="false"/>
          <w:i w:val="false"/>
          <w:color w:val="000000"/>
          <w:sz w:val="28"/>
        </w:rPr>
        <w:t>
      В разделе 2.1 указываются доходы, полученные от произведенной продукции и оказания услуг в разрезе вторичных видов деятельности (доход от коммерческой деятельности).</w:t>
      </w:r>
    </w:p>
    <w:bookmarkEnd w:id="27"/>
    <w:bookmarkStart w:name="z118" w:id="28"/>
    <w:p>
      <w:pPr>
        <w:spacing w:after="0"/>
        <w:ind w:left="0"/>
        <w:jc w:val="both"/>
      </w:pPr>
      <w:r>
        <w:rPr>
          <w:rFonts w:ascii="Times New Roman"/>
          <w:b w:val="false"/>
          <w:i w:val="false"/>
          <w:color w:val="000000"/>
          <w:sz w:val="28"/>
        </w:rPr>
        <w:t>
      В разделе 3 указываются расходы организаций на социальную и благотворительную помощь; расходы на амортизацию основных фондов.</w:t>
      </w:r>
    </w:p>
    <w:bookmarkEnd w:id="28"/>
    <w:bookmarkStart w:name="z119" w:id="29"/>
    <w:p>
      <w:pPr>
        <w:spacing w:after="0"/>
        <w:ind w:left="0"/>
        <w:jc w:val="both"/>
      </w:pPr>
      <w:r>
        <w:rPr>
          <w:rFonts w:ascii="Times New Roman"/>
          <w:b w:val="false"/>
          <w:i w:val="false"/>
          <w:color w:val="000000"/>
          <w:sz w:val="28"/>
        </w:rPr>
        <w:t>
      В разделе 4 указывается информация по показателям бухгалтерского баланса.</w:t>
      </w:r>
    </w:p>
    <w:bookmarkEnd w:id="29"/>
    <w:bookmarkStart w:name="z120" w:id="30"/>
    <w:p>
      <w:pPr>
        <w:spacing w:after="0"/>
        <w:ind w:left="0"/>
        <w:jc w:val="both"/>
      </w:pPr>
      <w:r>
        <w:rPr>
          <w:rFonts w:ascii="Times New Roman"/>
          <w:b w:val="false"/>
          <w:i w:val="false"/>
          <w:color w:val="000000"/>
          <w:sz w:val="28"/>
        </w:rPr>
        <w:t>
      В разделе 5 указывается информация о наличии и движении основных фондов с видом деятельности 94.91.0 - Деятельность религиозных организаций по следующим графам:</w:t>
      </w:r>
    </w:p>
    <w:bookmarkEnd w:id="30"/>
    <w:bookmarkStart w:name="z121" w:id="31"/>
    <w:p>
      <w:pPr>
        <w:spacing w:after="0"/>
        <w:ind w:left="0"/>
        <w:jc w:val="both"/>
      </w:pPr>
      <w:r>
        <w:rPr>
          <w:rFonts w:ascii="Times New Roman"/>
          <w:b w:val="false"/>
          <w:i w:val="false"/>
          <w:color w:val="000000"/>
          <w:sz w:val="28"/>
        </w:rPr>
        <w:t>
      в графе 1 отражается наличие основных фондов по первоначальной стоимости на начало отчетного года. Данная графа должна быть равна данным наличия основных фондов на конец предыдущего года;</w:t>
      </w:r>
    </w:p>
    <w:bookmarkEnd w:id="31"/>
    <w:bookmarkStart w:name="z122" w:id="32"/>
    <w:p>
      <w:pPr>
        <w:spacing w:after="0"/>
        <w:ind w:left="0"/>
        <w:jc w:val="both"/>
      </w:pPr>
      <w:r>
        <w:rPr>
          <w:rFonts w:ascii="Times New Roman"/>
          <w:b w:val="false"/>
          <w:i w:val="false"/>
          <w:color w:val="000000"/>
          <w:sz w:val="28"/>
        </w:rPr>
        <w:t>
      в графе 2 отражаются новые основные фонды, введенные или приобретенные в текущем году (не бывшие в употреблении ранее), независимо от источников финансирования, в том числе за счет кредитов банка; ранее не учтенные основные средства, приобретенные за плату и поступившие от физических и юридических лиц;</w:t>
      </w:r>
    </w:p>
    <w:bookmarkEnd w:id="32"/>
    <w:bookmarkStart w:name="z123" w:id="33"/>
    <w:p>
      <w:pPr>
        <w:spacing w:after="0"/>
        <w:ind w:left="0"/>
        <w:jc w:val="both"/>
      </w:pPr>
      <w:r>
        <w:rPr>
          <w:rFonts w:ascii="Times New Roman"/>
          <w:b w:val="false"/>
          <w:i w:val="false"/>
          <w:color w:val="000000"/>
          <w:sz w:val="28"/>
        </w:rPr>
        <w:t>
      в графе 3 отражается поступление за счет переоценки, курсовой разницы (в случае основных фондов, номинированных в иностранной валюте);</w:t>
      </w:r>
    </w:p>
    <w:bookmarkEnd w:id="33"/>
    <w:bookmarkStart w:name="z124" w:id="34"/>
    <w:p>
      <w:pPr>
        <w:spacing w:after="0"/>
        <w:ind w:left="0"/>
        <w:jc w:val="both"/>
      </w:pPr>
      <w:r>
        <w:rPr>
          <w:rFonts w:ascii="Times New Roman"/>
          <w:b w:val="false"/>
          <w:i w:val="false"/>
          <w:color w:val="000000"/>
          <w:sz w:val="28"/>
        </w:rPr>
        <w:t>
      в графе 4 отражается поступление основных фондов по прочим причинам (безвозмездное поступление, переход права собственности по окончании срока аренды, выявление неоприходованных (неучтенных) объектов основных средств по результатам инвентаризации, поступление в дочерние (зависимые) предприятия от головных организаций, поступление в порядке приватизации государственного имущества, поступление в виде вклада в уставной капитал организаций);</w:t>
      </w:r>
    </w:p>
    <w:bookmarkEnd w:id="34"/>
    <w:bookmarkStart w:name="z125" w:id="35"/>
    <w:p>
      <w:pPr>
        <w:spacing w:after="0"/>
        <w:ind w:left="0"/>
        <w:jc w:val="both"/>
      </w:pPr>
      <w:r>
        <w:rPr>
          <w:rFonts w:ascii="Times New Roman"/>
          <w:b w:val="false"/>
          <w:i w:val="false"/>
          <w:color w:val="000000"/>
          <w:sz w:val="28"/>
        </w:rPr>
        <w:t xml:space="preserve">
      в графе 5 показывается первоначальная стоимость списанных в отчетном году основных фондов (списание в случае морального или физического износа, списание основных средств, ранее сданных в аренду с правом выкупа, в момент перехода права); </w:t>
      </w:r>
    </w:p>
    <w:bookmarkEnd w:id="35"/>
    <w:bookmarkStart w:name="z126" w:id="36"/>
    <w:p>
      <w:pPr>
        <w:spacing w:after="0"/>
        <w:ind w:left="0"/>
        <w:jc w:val="both"/>
      </w:pPr>
      <w:r>
        <w:rPr>
          <w:rFonts w:ascii="Times New Roman"/>
          <w:b w:val="false"/>
          <w:i w:val="false"/>
          <w:color w:val="000000"/>
          <w:sz w:val="28"/>
        </w:rPr>
        <w:t>
      в графе 6 из графы 5 выделяется первоначальная стоимость основных фондов, списанных в результате чрезвычайных ситуаций, а именно: землетрясений, ураганов, засухи, наводнений, лесных пожаров, природных бедствий, эпидемий, несчастных случаев, связанных с технологическими процессами (крупные выбросы токсичных веществ).</w:t>
      </w:r>
    </w:p>
    <w:bookmarkEnd w:id="36"/>
    <w:bookmarkStart w:name="z127" w:id="37"/>
    <w:p>
      <w:pPr>
        <w:spacing w:after="0"/>
        <w:ind w:left="0"/>
        <w:jc w:val="both"/>
      </w:pPr>
      <w:r>
        <w:rPr>
          <w:rFonts w:ascii="Times New Roman"/>
          <w:b w:val="false"/>
          <w:i w:val="false"/>
          <w:color w:val="000000"/>
          <w:sz w:val="28"/>
        </w:rPr>
        <w:t>
      в графе 7 отражается выбытие за счет уменьшения стоимости в результате проведенной в течение отчетного года переоценки, курсовой разницы (в случае основных фондов, номинированных в иностранной валюте);</w:t>
      </w:r>
    </w:p>
    <w:bookmarkEnd w:id="37"/>
    <w:bookmarkStart w:name="z128" w:id="38"/>
    <w:p>
      <w:pPr>
        <w:spacing w:after="0"/>
        <w:ind w:left="0"/>
        <w:jc w:val="both"/>
      </w:pPr>
      <w:r>
        <w:rPr>
          <w:rFonts w:ascii="Times New Roman"/>
          <w:b w:val="false"/>
          <w:i w:val="false"/>
          <w:color w:val="000000"/>
          <w:sz w:val="28"/>
        </w:rPr>
        <w:t>
      в графе 8 отражается выбытие основных фондов по прочим причинам (продажа объекта юридическому или физическому лицу, передача объектов основных средств в виде вклада в уставной капитал организаций, передача по договорам мены, дарения объектов основных средств, поступление от головных организации в дочерние предприятия);</w:t>
      </w:r>
    </w:p>
    <w:bookmarkEnd w:id="38"/>
    <w:bookmarkStart w:name="z129" w:id="39"/>
    <w:p>
      <w:pPr>
        <w:spacing w:after="0"/>
        <w:ind w:left="0"/>
        <w:jc w:val="both"/>
      </w:pPr>
      <w:r>
        <w:rPr>
          <w:rFonts w:ascii="Times New Roman"/>
          <w:b w:val="false"/>
          <w:i w:val="false"/>
          <w:color w:val="000000"/>
          <w:sz w:val="28"/>
        </w:rPr>
        <w:t>
      в графе 9 из графы 8 выделяется первоначальная стоимость основных фондов, по прочим причинам в результате их конфискации;</w:t>
      </w:r>
    </w:p>
    <w:bookmarkEnd w:id="39"/>
    <w:bookmarkStart w:name="z130" w:id="40"/>
    <w:p>
      <w:pPr>
        <w:spacing w:after="0"/>
        <w:ind w:left="0"/>
        <w:jc w:val="both"/>
      </w:pPr>
      <w:r>
        <w:rPr>
          <w:rFonts w:ascii="Times New Roman"/>
          <w:b w:val="false"/>
          <w:i w:val="false"/>
          <w:color w:val="000000"/>
          <w:sz w:val="28"/>
        </w:rPr>
        <w:t>
      в графе 10 показывается наличие основных фондов предприятия на конец отчетного года по первоначальной стоимости;</w:t>
      </w:r>
    </w:p>
    <w:bookmarkEnd w:id="40"/>
    <w:bookmarkStart w:name="z131" w:id="41"/>
    <w:p>
      <w:pPr>
        <w:spacing w:after="0"/>
        <w:ind w:left="0"/>
        <w:jc w:val="both"/>
      </w:pPr>
      <w:r>
        <w:rPr>
          <w:rFonts w:ascii="Times New Roman"/>
          <w:b w:val="false"/>
          <w:i w:val="false"/>
          <w:color w:val="000000"/>
          <w:sz w:val="28"/>
        </w:rPr>
        <w:t>
      в графе 11 показывается наличие на конец года по балансовой (за вычетом суммы накопленной амортизации и убытка от обесценения) стоимости на конец года.</w:t>
      </w:r>
    </w:p>
    <w:bookmarkEnd w:id="41"/>
    <w:bookmarkStart w:name="z132" w:id="42"/>
    <w:p>
      <w:pPr>
        <w:spacing w:after="0"/>
        <w:ind w:left="0"/>
        <w:jc w:val="both"/>
      </w:pPr>
      <w:r>
        <w:rPr>
          <w:rFonts w:ascii="Times New Roman"/>
          <w:b w:val="false"/>
          <w:i w:val="false"/>
          <w:color w:val="000000"/>
          <w:sz w:val="28"/>
        </w:rPr>
        <w:t>
      К сооружениям относятся автостоянки под открытым небом, сооружения для спорта и мест отдыха, спортивные площадки, летние поля, теннисные корты.</w:t>
      </w:r>
    </w:p>
    <w:bookmarkEnd w:id="42"/>
    <w:bookmarkStart w:name="z133" w:id="43"/>
    <w:p>
      <w:pPr>
        <w:spacing w:after="0"/>
        <w:ind w:left="0"/>
        <w:jc w:val="both"/>
      </w:pPr>
      <w:r>
        <w:rPr>
          <w:rFonts w:ascii="Times New Roman"/>
          <w:b w:val="false"/>
          <w:i w:val="false"/>
          <w:color w:val="000000"/>
          <w:sz w:val="28"/>
        </w:rPr>
        <w:t>
      К машинам и оборудованиям относятся транспортные средства и оборудование, информационное, компьютерное и телекоммуникационное (ИКТ) оборудование, прочие машины и оборудование (радиоприемники переносные, приемники телевизионные, магнитофоны и аппаратура звукозаписывающая, видеокамеры записывающие и аппаратура видеозаписывающая или видеовоспроизводящая, камеры цифровые, приборы бытовые, оборудование офисное и его части).</w:t>
      </w:r>
    </w:p>
    <w:bookmarkEnd w:id="43"/>
    <w:bookmarkStart w:name="z134" w:id="44"/>
    <w:p>
      <w:pPr>
        <w:spacing w:after="0"/>
        <w:ind w:left="0"/>
        <w:jc w:val="both"/>
      </w:pPr>
      <w:r>
        <w:rPr>
          <w:rFonts w:ascii="Times New Roman"/>
          <w:b w:val="false"/>
          <w:i w:val="false"/>
          <w:color w:val="000000"/>
          <w:sz w:val="28"/>
        </w:rPr>
        <w:t>
      К нематериальным активам относятся продукты интеллектуальной собственности: научные исследования и разработки, компьютерное программное обеспечение и базы данных, оригиналы развлекательных, литературных и художественных произведений.</w:t>
      </w:r>
    </w:p>
    <w:bookmarkEnd w:id="44"/>
    <w:bookmarkStart w:name="z135" w:id="45"/>
    <w:p>
      <w:pPr>
        <w:spacing w:after="0"/>
        <w:ind w:left="0"/>
        <w:jc w:val="both"/>
      </w:pPr>
      <w:r>
        <w:rPr>
          <w:rFonts w:ascii="Times New Roman"/>
          <w:b w:val="false"/>
          <w:i w:val="false"/>
          <w:color w:val="000000"/>
          <w:sz w:val="28"/>
        </w:rPr>
        <w:t>
      6. Арифметико-логический контроль:</w:t>
      </w:r>
    </w:p>
    <w:bookmarkEnd w:id="45"/>
    <w:bookmarkStart w:name="z136" w:id="46"/>
    <w:p>
      <w:pPr>
        <w:spacing w:after="0"/>
        <w:ind w:left="0"/>
        <w:jc w:val="both"/>
      </w:pPr>
      <w:r>
        <w:rPr>
          <w:rFonts w:ascii="Times New Roman"/>
          <w:b w:val="false"/>
          <w:i w:val="false"/>
          <w:color w:val="000000"/>
          <w:sz w:val="28"/>
        </w:rPr>
        <w:t>
      1) Раздел 2:</w:t>
      </w:r>
    </w:p>
    <w:bookmarkEnd w:id="46"/>
    <w:bookmarkStart w:name="z137" w:id="47"/>
    <w:p>
      <w:pPr>
        <w:spacing w:after="0"/>
        <w:ind w:left="0"/>
        <w:jc w:val="both"/>
      </w:pPr>
      <w:r>
        <w:rPr>
          <w:rFonts w:ascii="Times New Roman"/>
          <w:b w:val="false"/>
          <w:i w:val="false"/>
          <w:color w:val="000000"/>
          <w:sz w:val="28"/>
        </w:rPr>
        <w:t>
      строка 1 = сумме строк сумме строк 1.1, 1.2 по графе 1;</w:t>
      </w:r>
    </w:p>
    <w:bookmarkEnd w:id="47"/>
    <w:bookmarkStart w:name="z138" w:id="48"/>
    <w:p>
      <w:pPr>
        <w:spacing w:after="0"/>
        <w:ind w:left="0"/>
        <w:jc w:val="both"/>
      </w:pPr>
      <w:r>
        <w:rPr>
          <w:rFonts w:ascii="Times New Roman"/>
          <w:b w:val="false"/>
          <w:i w:val="false"/>
          <w:color w:val="000000"/>
          <w:sz w:val="28"/>
        </w:rPr>
        <w:t>
      строка 1.1 = сумме строк сумме строк 1.1.1, 1.1.2 по графе 1;</w:t>
      </w:r>
    </w:p>
    <w:bookmarkEnd w:id="48"/>
    <w:bookmarkStart w:name="z139" w:id="49"/>
    <w:p>
      <w:pPr>
        <w:spacing w:after="0"/>
        <w:ind w:left="0"/>
        <w:jc w:val="both"/>
      </w:pPr>
      <w:r>
        <w:rPr>
          <w:rFonts w:ascii="Times New Roman"/>
          <w:b w:val="false"/>
          <w:i w:val="false"/>
          <w:color w:val="000000"/>
          <w:sz w:val="28"/>
        </w:rPr>
        <w:t>
      2) Раздел 3:</w:t>
      </w:r>
    </w:p>
    <w:bookmarkEnd w:id="49"/>
    <w:bookmarkStart w:name="z140" w:id="50"/>
    <w:p>
      <w:pPr>
        <w:spacing w:after="0"/>
        <w:ind w:left="0"/>
        <w:jc w:val="both"/>
      </w:pPr>
      <w:r>
        <w:rPr>
          <w:rFonts w:ascii="Times New Roman"/>
          <w:b w:val="false"/>
          <w:i w:val="false"/>
          <w:color w:val="000000"/>
          <w:sz w:val="28"/>
        </w:rPr>
        <w:t>
      строка 1 = сумме строк 1.1, 1.2, 1.3 по графе 1;</w:t>
      </w:r>
    </w:p>
    <w:bookmarkEnd w:id="50"/>
    <w:bookmarkStart w:name="z141" w:id="51"/>
    <w:p>
      <w:pPr>
        <w:spacing w:after="0"/>
        <w:ind w:left="0"/>
        <w:jc w:val="both"/>
      </w:pPr>
      <w:r>
        <w:rPr>
          <w:rFonts w:ascii="Times New Roman"/>
          <w:b w:val="false"/>
          <w:i w:val="false"/>
          <w:color w:val="000000"/>
          <w:sz w:val="28"/>
        </w:rPr>
        <w:t>
      строка 1.1 = сумме строк 1.1.1, 1.1.2 по графе 1;</w:t>
      </w:r>
    </w:p>
    <w:bookmarkEnd w:id="51"/>
    <w:bookmarkStart w:name="z142" w:id="52"/>
    <w:p>
      <w:pPr>
        <w:spacing w:after="0"/>
        <w:ind w:left="0"/>
        <w:jc w:val="both"/>
      </w:pPr>
      <w:r>
        <w:rPr>
          <w:rFonts w:ascii="Times New Roman"/>
          <w:b w:val="false"/>
          <w:i w:val="false"/>
          <w:color w:val="000000"/>
          <w:sz w:val="28"/>
        </w:rPr>
        <w:t>
      3) Раздел 4:</w:t>
      </w:r>
    </w:p>
    <w:bookmarkEnd w:id="52"/>
    <w:bookmarkStart w:name="z143" w:id="53"/>
    <w:p>
      <w:pPr>
        <w:spacing w:after="0"/>
        <w:ind w:left="0"/>
        <w:jc w:val="both"/>
      </w:pPr>
      <w:r>
        <w:rPr>
          <w:rFonts w:ascii="Times New Roman"/>
          <w:b w:val="false"/>
          <w:i w:val="false"/>
          <w:color w:val="000000"/>
          <w:sz w:val="28"/>
        </w:rPr>
        <w:t>
      строка 1 ≥ сумме строк 1.1, 1.2, 1.3 по графам 1, 2;</w:t>
      </w:r>
    </w:p>
    <w:bookmarkEnd w:id="53"/>
    <w:bookmarkStart w:name="z144" w:id="54"/>
    <w:p>
      <w:pPr>
        <w:spacing w:after="0"/>
        <w:ind w:left="0"/>
        <w:jc w:val="both"/>
      </w:pPr>
      <w:r>
        <w:rPr>
          <w:rFonts w:ascii="Times New Roman"/>
          <w:b w:val="false"/>
          <w:i w:val="false"/>
          <w:color w:val="000000"/>
          <w:sz w:val="28"/>
        </w:rPr>
        <w:t>
      4) Раздел 5:</w:t>
      </w:r>
    </w:p>
    <w:bookmarkEnd w:id="54"/>
    <w:bookmarkStart w:name="z145" w:id="55"/>
    <w:p>
      <w:pPr>
        <w:spacing w:after="0"/>
        <w:ind w:left="0"/>
        <w:jc w:val="both"/>
      </w:pPr>
      <w:r>
        <w:rPr>
          <w:rFonts w:ascii="Times New Roman"/>
          <w:b w:val="false"/>
          <w:i w:val="false"/>
          <w:color w:val="000000"/>
          <w:sz w:val="28"/>
        </w:rPr>
        <w:t>
      строка 1≥ сумме строк 1.1, 1.2, 1.3, 1.4 по графам 1, 2, 3, 4, 5, 6, 7, 8, 9, 10, 11;</w:t>
      </w:r>
    </w:p>
    <w:bookmarkEnd w:id="55"/>
    <w:bookmarkStart w:name="z146" w:id="56"/>
    <w:p>
      <w:pPr>
        <w:spacing w:after="0"/>
        <w:ind w:left="0"/>
        <w:jc w:val="both"/>
      </w:pPr>
      <w:r>
        <w:rPr>
          <w:rFonts w:ascii="Times New Roman"/>
          <w:b w:val="false"/>
          <w:i w:val="false"/>
          <w:color w:val="000000"/>
          <w:sz w:val="28"/>
        </w:rPr>
        <w:t>
      строка 1.1 = сумме строк 1.1.1, 1.1.2 по графам 1, 2, 3, 4, 5, 6, 7, 8, 9, 10, 11;</w:t>
      </w:r>
    </w:p>
    <w:bookmarkEnd w:id="56"/>
    <w:bookmarkStart w:name="z147" w:id="57"/>
    <w:p>
      <w:pPr>
        <w:spacing w:after="0"/>
        <w:ind w:left="0"/>
        <w:jc w:val="both"/>
      </w:pPr>
      <w:r>
        <w:rPr>
          <w:rFonts w:ascii="Times New Roman"/>
          <w:b w:val="false"/>
          <w:i w:val="false"/>
          <w:color w:val="000000"/>
          <w:sz w:val="28"/>
        </w:rPr>
        <w:t>
      графа 10 = сумме граф 1, 2, 3, 4 минус сумма граф 5, 7, 8 для каждой строки;</w:t>
      </w:r>
    </w:p>
    <w:bookmarkEnd w:id="57"/>
    <w:bookmarkStart w:name="z148" w:id="58"/>
    <w:p>
      <w:pPr>
        <w:spacing w:after="0"/>
        <w:ind w:left="0"/>
        <w:jc w:val="both"/>
      </w:pPr>
      <w:r>
        <w:rPr>
          <w:rFonts w:ascii="Times New Roman"/>
          <w:b w:val="false"/>
          <w:i w:val="false"/>
          <w:color w:val="000000"/>
          <w:sz w:val="28"/>
        </w:rPr>
        <w:t xml:space="preserve">
      графа 5 ≥ графы 6 для каждой строки; </w:t>
      </w:r>
    </w:p>
    <w:bookmarkEnd w:id="58"/>
    <w:bookmarkStart w:name="z149" w:id="59"/>
    <w:p>
      <w:pPr>
        <w:spacing w:after="0"/>
        <w:ind w:left="0"/>
        <w:jc w:val="both"/>
      </w:pPr>
      <w:r>
        <w:rPr>
          <w:rFonts w:ascii="Times New Roman"/>
          <w:b w:val="false"/>
          <w:i w:val="false"/>
          <w:color w:val="000000"/>
          <w:sz w:val="28"/>
        </w:rPr>
        <w:t>
      графа 8 ≥ графы 9 для каждой строки;</w:t>
      </w:r>
    </w:p>
    <w:bookmarkEnd w:id="59"/>
    <w:bookmarkStart w:name="z150" w:id="60"/>
    <w:p>
      <w:pPr>
        <w:spacing w:after="0"/>
        <w:ind w:left="0"/>
        <w:jc w:val="both"/>
      </w:pPr>
      <w:r>
        <w:rPr>
          <w:rFonts w:ascii="Times New Roman"/>
          <w:b w:val="false"/>
          <w:i w:val="false"/>
          <w:color w:val="000000"/>
          <w:sz w:val="28"/>
        </w:rPr>
        <w:t>
      7. Контроль между разделами:</w:t>
      </w:r>
    </w:p>
    <w:bookmarkEnd w:id="60"/>
    <w:bookmarkStart w:name="z151" w:id="61"/>
    <w:p>
      <w:pPr>
        <w:spacing w:after="0"/>
        <w:ind w:left="0"/>
        <w:jc w:val="both"/>
      </w:pPr>
      <w:r>
        <w:rPr>
          <w:rFonts w:ascii="Times New Roman"/>
          <w:b w:val="false"/>
          <w:i w:val="false"/>
          <w:color w:val="000000"/>
          <w:sz w:val="28"/>
        </w:rPr>
        <w:t>
      если строка 1.2 графы 1 раздела 3 &gt; 0, то графа 11 &lt; графы 10 раздела 5 для каждой строки.</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