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770b" w14:textId="0867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заключения cоглашения по применению трансфертного ценообразования</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15 апреля 2022 года № 414. Зарегистрирован в Министерстве юстиции Республики Казахстан 19 апреля 2022 года № 27623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 Закона Республики Казахстан "О трансфертном ценообразовании" ПРИКАЗЫВАЮ: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заключения соглашения по применению трансфертного ценообразования.</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2022 года № 414</w:t>
            </w:r>
          </w:p>
        </w:tc>
      </w:tr>
    </w:tbl>
    <w:bookmarkStart w:name="z13" w:id="7"/>
    <w:p>
      <w:pPr>
        <w:spacing w:after="0"/>
        <w:ind w:left="0"/>
        <w:jc w:val="left"/>
      </w:pPr>
      <w:r>
        <w:rPr>
          <w:rFonts w:ascii="Times New Roman"/>
          <w:b/>
          <w:i w:val="false"/>
          <w:color w:val="000000"/>
        </w:rPr>
        <w:t xml:space="preserve"> Правила заключения cоглашения по применению трансфертного ценообразования</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заключения соглашения по применению трансфертного ценообразования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 Закона Республики Казахстан "О трансфертном ценообразовании" (далее – Закон) и определяют порядок заключения соглашения по применению трансфертного ценообразования (далее – Соглашение) между Комитетом государственных доходов Министерства финансов Республики Казахстан (далее – Комитет) и участником сделки, определенным </w:t>
      </w:r>
      <w:r>
        <w:rPr>
          <w:rFonts w:ascii="Times New Roman"/>
          <w:b w:val="false"/>
          <w:i w:val="false"/>
          <w:color w:val="000000"/>
          <w:sz w:val="28"/>
        </w:rPr>
        <w:t>подпунктом 16)</w:t>
      </w:r>
      <w:r>
        <w:rPr>
          <w:rFonts w:ascii="Times New Roman"/>
          <w:b w:val="false"/>
          <w:i w:val="false"/>
          <w:color w:val="000000"/>
          <w:sz w:val="28"/>
        </w:rPr>
        <w:t xml:space="preserve"> статьи 2 Закона.</w:t>
      </w:r>
    </w:p>
    <w:bookmarkEnd w:id="9"/>
    <w:bookmarkStart w:name="z16" w:id="10"/>
    <w:p>
      <w:pPr>
        <w:spacing w:after="0"/>
        <w:ind w:left="0"/>
        <w:jc w:val="both"/>
      </w:pPr>
      <w:r>
        <w:rPr>
          <w:rFonts w:ascii="Times New Roman"/>
          <w:b w:val="false"/>
          <w:i w:val="false"/>
          <w:color w:val="000000"/>
          <w:sz w:val="28"/>
        </w:rPr>
        <w:t xml:space="preserve">
      2. Соглашение устанавливает предусмотренные </w:t>
      </w:r>
      <w:r>
        <w:rPr>
          <w:rFonts w:ascii="Times New Roman"/>
          <w:b w:val="false"/>
          <w:i w:val="false"/>
          <w:color w:val="000000"/>
          <w:sz w:val="28"/>
        </w:rPr>
        <w:t>Законом</w:t>
      </w:r>
      <w:r>
        <w:rPr>
          <w:rFonts w:ascii="Times New Roman"/>
          <w:b w:val="false"/>
          <w:i w:val="false"/>
          <w:color w:val="000000"/>
          <w:sz w:val="28"/>
        </w:rPr>
        <w:t xml:space="preserve"> порядок определения (расчета) цен, метод определения рыночной цены и источники информации по перечню сделок, являющихся предметом Соглашения и подлежащих контролю при трансфертном ценообразовании согласно </w:t>
      </w:r>
      <w:r>
        <w:rPr>
          <w:rFonts w:ascii="Times New Roman"/>
          <w:b w:val="false"/>
          <w:i w:val="false"/>
          <w:color w:val="000000"/>
          <w:sz w:val="28"/>
        </w:rPr>
        <w:t>статье 3</w:t>
      </w:r>
      <w:r>
        <w:rPr>
          <w:rFonts w:ascii="Times New Roman"/>
          <w:b w:val="false"/>
          <w:i w:val="false"/>
          <w:color w:val="000000"/>
          <w:sz w:val="28"/>
        </w:rPr>
        <w:t xml:space="preserve"> Закона.</w:t>
      </w:r>
    </w:p>
    <w:bookmarkEnd w:id="10"/>
    <w:bookmarkStart w:name="z17" w:id="11"/>
    <w:p>
      <w:pPr>
        <w:spacing w:after="0"/>
        <w:ind w:left="0"/>
        <w:jc w:val="both"/>
      </w:pPr>
      <w:r>
        <w:rPr>
          <w:rFonts w:ascii="Times New Roman"/>
          <w:b w:val="false"/>
          <w:i w:val="false"/>
          <w:color w:val="000000"/>
          <w:sz w:val="28"/>
        </w:rPr>
        <w:t>
      3. Структура Соглашения содержит следующее:</w:t>
      </w:r>
    </w:p>
    <w:bookmarkEnd w:id="11"/>
    <w:bookmarkStart w:name="z18" w:id="12"/>
    <w:p>
      <w:pPr>
        <w:spacing w:after="0"/>
        <w:ind w:left="0"/>
        <w:jc w:val="both"/>
      </w:pPr>
      <w:r>
        <w:rPr>
          <w:rFonts w:ascii="Times New Roman"/>
          <w:b w:val="false"/>
          <w:i w:val="false"/>
          <w:color w:val="000000"/>
          <w:sz w:val="28"/>
        </w:rPr>
        <w:t>
      1) общие положения;</w:t>
      </w:r>
    </w:p>
    <w:bookmarkEnd w:id="12"/>
    <w:bookmarkStart w:name="z19" w:id="13"/>
    <w:p>
      <w:pPr>
        <w:spacing w:after="0"/>
        <w:ind w:left="0"/>
        <w:jc w:val="both"/>
      </w:pPr>
      <w:r>
        <w:rPr>
          <w:rFonts w:ascii="Times New Roman"/>
          <w:b w:val="false"/>
          <w:i w:val="false"/>
          <w:color w:val="000000"/>
          <w:sz w:val="28"/>
        </w:rPr>
        <w:t>
      2) определения, используемые в Соглашении;</w:t>
      </w:r>
    </w:p>
    <w:bookmarkEnd w:id="13"/>
    <w:bookmarkStart w:name="z20" w:id="14"/>
    <w:p>
      <w:pPr>
        <w:spacing w:after="0"/>
        <w:ind w:left="0"/>
        <w:jc w:val="both"/>
      </w:pPr>
      <w:r>
        <w:rPr>
          <w:rFonts w:ascii="Times New Roman"/>
          <w:b w:val="false"/>
          <w:i w:val="false"/>
          <w:color w:val="000000"/>
          <w:sz w:val="28"/>
        </w:rPr>
        <w:t>
      3) стороны Соглашения;</w:t>
      </w:r>
    </w:p>
    <w:bookmarkEnd w:id="14"/>
    <w:bookmarkStart w:name="z21" w:id="15"/>
    <w:p>
      <w:pPr>
        <w:spacing w:after="0"/>
        <w:ind w:left="0"/>
        <w:jc w:val="both"/>
      </w:pPr>
      <w:r>
        <w:rPr>
          <w:rFonts w:ascii="Times New Roman"/>
          <w:b w:val="false"/>
          <w:i w:val="false"/>
          <w:color w:val="000000"/>
          <w:sz w:val="28"/>
        </w:rPr>
        <w:t>
      4) предмет Соглашения;</w:t>
      </w:r>
    </w:p>
    <w:bookmarkEnd w:id="15"/>
    <w:bookmarkStart w:name="z22" w:id="16"/>
    <w:p>
      <w:pPr>
        <w:spacing w:after="0"/>
        <w:ind w:left="0"/>
        <w:jc w:val="both"/>
      </w:pPr>
      <w:r>
        <w:rPr>
          <w:rFonts w:ascii="Times New Roman"/>
          <w:b w:val="false"/>
          <w:i w:val="false"/>
          <w:color w:val="000000"/>
          <w:sz w:val="28"/>
        </w:rPr>
        <w:t>
      5) перечень представленных документов;</w:t>
      </w:r>
    </w:p>
    <w:bookmarkEnd w:id="16"/>
    <w:bookmarkStart w:name="z23" w:id="17"/>
    <w:p>
      <w:pPr>
        <w:spacing w:after="0"/>
        <w:ind w:left="0"/>
        <w:jc w:val="both"/>
      </w:pPr>
      <w:r>
        <w:rPr>
          <w:rFonts w:ascii="Times New Roman"/>
          <w:b w:val="false"/>
          <w:i w:val="false"/>
          <w:color w:val="000000"/>
          <w:sz w:val="28"/>
        </w:rPr>
        <w:t>
      6) метод определения рыночной цены;</w:t>
      </w:r>
    </w:p>
    <w:bookmarkEnd w:id="17"/>
    <w:bookmarkStart w:name="z24" w:id="18"/>
    <w:p>
      <w:pPr>
        <w:spacing w:after="0"/>
        <w:ind w:left="0"/>
        <w:jc w:val="both"/>
      </w:pPr>
      <w:r>
        <w:rPr>
          <w:rFonts w:ascii="Times New Roman"/>
          <w:b w:val="false"/>
          <w:i w:val="false"/>
          <w:color w:val="000000"/>
          <w:sz w:val="28"/>
        </w:rPr>
        <w:t>
      7) источник информации, применяемый для определения диапазона рыночной цены или диапазона рыночной рентабельности;</w:t>
      </w:r>
    </w:p>
    <w:bookmarkEnd w:id="18"/>
    <w:bookmarkStart w:name="z25" w:id="19"/>
    <w:p>
      <w:pPr>
        <w:spacing w:after="0"/>
        <w:ind w:left="0"/>
        <w:jc w:val="both"/>
      </w:pPr>
      <w:r>
        <w:rPr>
          <w:rFonts w:ascii="Times New Roman"/>
          <w:b w:val="false"/>
          <w:i w:val="false"/>
          <w:color w:val="000000"/>
          <w:sz w:val="28"/>
        </w:rPr>
        <w:t>
      8) срок действия Соглашения;</w:t>
      </w:r>
    </w:p>
    <w:bookmarkEnd w:id="19"/>
    <w:bookmarkStart w:name="z26" w:id="20"/>
    <w:p>
      <w:pPr>
        <w:spacing w:after="0"/>
        <w:ind w:left="0"/>
        <w:jc w:val="both"/>
      </w:pPr>
      <w:r>
        <w:rPr>
          <w:rFonts w:ascii="Times New Roman"/>
          <w:b w:val="false"/>
          <w:i w:val="false"/>
          <w:color w:val="000000"/>
          <w:sz w:val="28"/>
        </w:rPr>
        <w:t>
      9) дата вступления в силу Соглашения;</w:t>
      </w:r>
    </w:p>
    <w:bookmarkEnd w:id="20"/>
    <w:bookmarkStart w:name="z27" w:id="21"/>
    <w:p>
      <w:pPr>
        <w:spacing w:after="0"/>
        <w:ind w:left="0"/>
        <w:jc w:val="both"/>
      </w:pPr>
      <w:r>
        <w:rPr>
          <w:rFonts w:ascii="Times New Roman"/>
          <w:b w:val="false"/>
          <w:i w:val="false"/>
          <w:color w:val="000000"/>
          <w:sz w:val="28"/>
        </w:rPr>
        <w:t>
      10) срок предоставления информации о применяемых ценах в период действия Соглашения;</w:t>
      </w:r>
    </w:p>
    <w:bookmarkEnd w:id="21"/>
    <w:bookmarkStart w:name="z28" w:id="22"/>
    <w:p>
      <w:pPr>
        <w:spacing w:after="0"/>
        <w:ind w:left="0"/>
        <w:jc w:val="both"/>
      </w:pPr>
      <w:r>
        <w:rPr>
          <w:rFonts w:ascii="Times New Roman"/>
          <w:b w:val="false"/>
          <w:i w:val="false"/>
          <w:color w:val="000000"/>
          <w:sz w:val="28"/>
        </w:rPr>
        <w:t>
      11) конфиденциальность;</w:t>
      </w:r>
    </w:p>
    <w:bookmarkEnd w:id="22"/>
    <w:bookmarkStart w:name="z29" w:id="23"/>
    <w:p>
      <w:pPr>
        <w:spacing w:after="0"/>
        <w:ind w:left="0"/>
        <w:jc w:val="both"/>
      </w:pPr>
      <w:r>
        <w:rPr>
          <w:rFonts w:ascii="Times New Roman"/>
          <w:b w:val="false"/>
          <w:i w:val="false"/>
          <w:color w:val="000000"/>
          <w:sz w:val="28"/>
        </w:rPr>
        <w:t>
      12) последствия неисполнения (нарушения) участником сделки условий Соглашения;</w:t>
      </w:r>
    </w:p>
    <w:bookmarkEnd w:id="23"/>
    <w:bookmarkStart w:name="z30" w:id="24"/>
    <w:p>
      <w:pPr>
        <w:spacing w:after="0"/>
        <w:ind w:left="0"/>
        <w:jc w:val="both"/>
      </w:pPr>
      <w:r>
        <w:rPr>
          <w:rFonts w:ascii="Times New Roman"/>
          <w:b w:val="false"/>
          <w:i w:val="false"/>
          <w:color w:val="000000"/>
          <w:sz w:val="28"/>
        </w:rPr>
        <w:t>
      13) основания досрочного расторжения Соглашения.</w:t>
      </w:r>
    </w:p>
    <w:bookmarkEnd w:id="24"/>
    <w:bookmarkStart w:name="z31" w:id="25"/>
    <w:p>
      <w:pPr>
        <w:spacing w:after="0"/>
        <w:ind w:left="0"/>
        <w:jc w:val="left"/>
      </w:pPr>
      <w:r>
        <w:rPr>
          <w:rFonts w:ascii="Times New Roman"/>
          <w:b/>
          <w:i w:val="false"/>
          <w:color w:val="000000"/>
        </w:rPr>
        <w:t xml:space="preserve"> Глава 2. Порядок заключения Соглашения по применению трансфертного ценообразования</w:t>
      </w:r>
    </w:p>
    <w:bookmarkEnd w:id="25"/>
    <w:bookmarkStart w:name="z32" w:id="26"/>
    <w:p>
      <w:pPr>
        <w:spacing w:after="0"/>
        <w:ind w:left="0"/>
        <w:jc w:val="both"/>
      </w:pPr>
      <w:r>
        <w:rPr>
          <w:rFonts w:ascii="Times New Roman"/>
          <w:b w:val="false"/>
          <w:i w:val="false"/>
          <w:color w:val="000000"/>
          <w:sz w:val="28"/>
        </w:rPr>
        <w:t>
      4. Участник сделки представляет в Комитет заявление на заключение Соглашения в письменном виде и произвольной форме, к которому прилагается обоснование и документы, содержащие следующую информацию:</w:t>
      </w:r>
    </w:p>
    <w:bookmarkEnd w:id="26"/>
    <w:bookmarkStart w:name="z33" w:id="27"/>
    <w:p>
      <w:pPr>
        <w:spacing w:after="0"/>
        <w:ind w:left="0"/>
        <w:jc w:val="both"/>
      </w:pPr>
      <w:r>
        <w:rPr>
          <w:rFonts w:ascii="Times New Roman"/>
          <w:b w:val="false"/>
          <w:i w:val="false"/>
          <w:color w:val="000000"/>
          <w:sz w:val="28"/>
        </w:rPr>
        <w:t>
      1) свидетельство или справка о государственной регистрации (перерегистрации) юридического лица, учредительные документы (устав, учредительный договор), выписки из реестра держателей акций (доли), владеющих более 5 % акциями (долями) или документ, удостоверяющий личность физического лица;</w:t>
      </w:r>
    </w:p>
    <w:bookmarkEnd w:id="27"/>
    <w:bookmarkStart w:name="z34" w:id="28"/>
    <w:p>
      <w:pPr>
        <w:spacing w:after="0"/>
        <w:ind w:left="0"/>
        <w:jc w:val="both"/>
      </w:pPr>
      <w:r>
        <w:rPr>
          <w:rFonts w:ascii="Times New Roman"/>
          <w:b w:val="false"/>
          <w:i w:val="false"/>
          <w:color w:val="000000"/>
          <w:sz w:val="28"/>
        </w:rPr>
        <w:t>
      2) договоры (с дополнениями и изменениями), предмет которых является объектом контроля при трансфертном ценообразовании согласно статье 3 Закона;</w:t>
      </w:r>
    </w:p>
    <w:bookmarkEnd w:id="28"/>
    <w:bookmarkStart w:name="z35" w:id="29"/>
    <w:p>
      <w:pPr>
        <w:spacing w:after="0"/>
        <w:ind w:left="0"/>
        <w:jc w:val="both"/>
      </w:pPr>
      <w:r>
        <w:rPr>
          <w:rFonts w:ascii="Times New Roman"/>
          <w:b w:val="false"/>
          <w:i w:val="false"/>
          <w:color w:val="000000"/>
          <w:sz w:val="28"/>
        </w:rPr>
        <w:t>
      3) контракт на недропользование (с дополнениями и изменениями), заключенный с компетентным органом Республики Казахстан и (или) с Правительством Республики Казахстан, деятельность по которому связана с осуществлением сделок, являющихся предметом заключаемого Соглашения, в случае наличия такого контракта;</w:t>
      </w:r>
    </w:p>
    <w:bookmarkEnd w:id="29"/>
    <w:bookmarkStart w:name="z36" w:id="30"/>
    <w:p>
      <w:pPr>
        <w:spacing w:after="0"/>
        <w:ind w:left="0"/>
        <w:jc w:val="both"/>
      </w:pPr>
      <w:r>
        <w:rPr>
          <w:rFonts w:ascii="Times New Roman"/>
          <w:b w:val="false"/>
          <w:i w:val="false"/>
          <w:color w:val="000000"/>
          <w:sz w:val="28"/>
        </w:rPr>
        <w:t>
      4) информацию об инвестициях и/или акциях, в случае их наличия, в компаниях Республики Казахстан и зарубежных странах, если такие инвестиции и/или акции связаны с предметом сделки, по которому будет заключено Соглашение;</w:t>
      </w:r>
    </w:p>
    <w:bookmarkEnd w:id="30"/>
    <w:bookmarkStart w:name="z37" w:id="31"/>
    <w:p>
      <w:pPr>
        <w:spacing w:after="0"/>
        <w:ind w:left="0"/>
        <w:jc w:val="both"/>
      </w:pPr>
      <w:r>
        <w:rPr>
          <w:rFonts w:ascii="Times New Roman"/>
          <w:b w:val="false"/>
          <w:i w:val="false"/>
          <w:color w:val="000000"/>
          <w:sz w:val="28"/>
        </w:rPr>
        <w:t>
      5) данные о взаимосвязанности сторон, структура международной группы (если участник сделки является участником международной группы), организационная структура участника сделки, в случае если участник сделки не представляет отчетности согласно статье 7 Закона за три последовательных года, предшествующих году подачи заявления на заключение Соглашения;</w:t>
      </w:r>
    </w:p>
    <w:bookmarkEnd w:id="31"/>
    <w:bookmarkStart w:name="z38" w:id="32"/>
    <w:p>
      <w:pPr>
        <w:spacing w:after="0"/>
        <w:ind w:left="0"/>
        <w:jc w:val="both"/>
      </w:pPr>
      <w:r>
        <w:rPr>
          <w:rFonts w:ascii="Times New Roman"/>
          <w:b w:val="false"/>
          <w:i w:val="false"/>
          <w:color w:val="000000"/>
          <w:sz w:val="28"/>
        </w:rPr>
        <w:t>
      6) финансовая отчетность участника сделки за три последовательных года, предшествующих году подачи заявления на заключение Соглашения;</w:t>
      </w:r>
    </w:p>
    <w:bookmarkEnd w:id="32"/>
    <w:bookmarkStart w:name="z39" w:id="33"/>
    <w:p>
      <w:pPr>
        <w:spacing w:after="0"/>
        <w:ind w:left="0"/>
        <w:jc w:val="both"/>
      </w:pPr>
      <w:r>
        <w:rPr>
          <w:rFonts w:ascii="Times New Roman"/>
          <w:b w:val="false"/>
          <w:i w:val="false"/>
          <w:color w:val="000000"/>
          <w:sz w:val="28"/>
        </w:rPr>
        <w:t>
      7) источник информации по рыночным ценам, используемый при заключении сделок, и методологию формирования рыночных цен источника информации;</w:t>
      </w:r>
    </w:p>
    <w:bookmarkEnd w:id="33"/>
    <w:bookmarkStart w:name="z40" w:id="34"/>
    <w:p>
      <w:pPr>
        <w:spacing w:after="0"/>
        <w:ind w:left="0"/>
        <w:jc w:val="both"/>
      </w:pPr>
      <w:r>
        <w:rPr>
          <w:rFonts w:ascii="Times New Roman"/>
          <w:b w:val="false"/>
          <w:i w:val="false"/>
          <w:color w:val="000000"/>
          <w:sz w:val="28"/>
        </w:rPr>
        <w:t>
      8) метод, предлагаемый для определения рыночной цены, методология определения рыночной цены и формула ценообразования;</w:t>
      </w:r>
    </w:p>
    <w:bookmarkEnd w:id="34"/>
    <w:bookmarkStart w:name="z41" w:id="35"/>
    <w:p>
      <w:pPr>
        <w:spacing w:after="0"/>
        <w:ind w:left="0"/>
        <w:jc w:val="both"/>
      </w:pPr>
      <w:r>
        <w:rPr>
          <w:rFonts w:ascii="Times New Roman"/>
          <w:b w:val="false"/>
          <w:i w:val="false"/>
          <w:color w:val="000000"/>
          <w:sz w:val="28"/>
        </w:rPr>
        <w:t xml:space="preserve">
      9) стратегию бизнеса, включающую в себя маркетинговую политику (товарная, сбытовая, ценовая, а также политика продвижения товара на рынке), методологию ценообразования, включая информацию, касающуюся факторов, которые влияют на установление цены, репутацию на рынке, в случае если участник сделки не представляет отчетности согласно </w:t>
      </w:r>
      <w:r>
        <w:rPr>
          <w:rFonts w:ascii="Times New Roman"/>
          <w:b w:val="false"/>
          <w:i w:val="false"/>
          <w:color w:val="000000"/>
          <w:sz w:val="28"/>
        </w:rPr>
        <w:t>статье 7</w:t>
      </w:r>
      <w:r>
        <w:rPr>
          <w:rFonts w:ascii="Times New Roman"/>
          <w:b w:val="false"/>
          <w:i w:val="false"/>
          <w:color w:val="000000"/>
          <w:sz w:val="28"/>
        </w:rPr>
        <w:t xml:space="preserve"> Закона за три последовательных года, предшествующих году подачи заявления на заключение Соглашения.</w:t>
      </w:r>
    </w:p>
    <w:bookmarkEnd w:id="35"/>
    <w:bookmarkStart w:name="z42" w:id="36"/>
    <w:p>
      <w:pPr>
        <w:spacing w:after="0"/>
        <w:ind w:left="0"/>
        <w:jc w:val="both"/>
      </w:pPr>
      <w:r>
        <w:rPr>
          <w:rFonts w:ascii="Times New Roman"/>
          <w:b w:val="false"/>
          <w:i w:val="false"/>
          <w:color w:val="000000"/>
          <w:sz w:val="28"/>
        </w:rPr>
        <w:t>
      При невозможности представления документов, указанных в подпунктах 4), 5), 7), 8) и 9) настоящего пункта, участник сделки представляет письменное обоснование о невозможности их представления. Комитет принимает письменное обоснование о невозможности представления указанных документов.</w:t>
      </w:r>
    </w:p>
    <w:bookmarkEnd w:id="36"/>
    <w:bookmarkStart w:name="z43" w:id="37"/>
    <w:p>
      <w:pPr>
        <w:spacing w:after="0"/>
        <w:ind w:left="0"/>
        <w:jc w:val="both"/>
      </w:pPr>
      <w:r>
        <w:rPr>
          <w:rFonts w:ascii="Times New Roman"/>
          <w:b w:val="false"/>
          <w:i w:val="false"/>
          <w:color w:val="000000"/>
          <w:sz w:val="28"/>
        </w:rPr>
        <w:t>
      5. Комитет рассматривает заявление участника сделки на заключение Соглашения в течение 90 (девяноста) рабочих дней со дня получения от участника сделки указанного заявления.</w:t>
      </w:r>
    </w:p>
    <w:bookmarkEnd w:id="37"/>
    <w:bookmarkStart w:name="z44" w:id="3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Комитет не позднее чем за 3 (три) рабочих дня до истечения срока рассмотрения заявления участника сделки назначает процедуру заслушивания с представителями участника сделки. По итогам заслушивания принимается положительное решение о заключении Соглашения либо отказ заключения Соглашения.</w:t>
      </w:r>
    </w:p>
    <w:bookmarkEnd w:id="38"/>
    <w:bookmarkStart w:name="z45" w:id="39"/>
    <w:p>
      <w:pPr>
        <w:spacing w:after="0"/>
        <w:ind w:left="0"/>
        <w:jc w:val="both"/>
      </w:pPr>
      <w:r>
        <w:rPr>
          <w:rFonts w:ascii="Times New Roman"/>
          <w:b w:val="false"/>
          <w:i w:val="false"/>
          <w:color w:val="000000"/>
          <w:sz w:val="28"/>
        </w:rPr>
        <w:t>
      В случае принятия положительного решения о заключении Соглашения Комитет в течение 5 (пяти) рабочих дней со дня принятия решения направляет в адрес участника сделки подписанное председателем Комитета либо должностным лицом, на которое возложено исполнение обязанностей председателя Комитета, Соглашение, действующее в течение срока, не превышающего 3 (трех) лет со дня его подписания.</w:t>
      </w:r>
    </w:p>
    <w:bookmarkEnd w:id="39"/>
    <w:bookmarkStart w:name="z46" w:id="40"/>
    <w:p>
      <w:pPr>
        <w:spacing w:after="0"/>
        <w:ind w:left="0"/>
        <w:jc w:val="both"/>
      </w:pPr>
      <w:r>
        <w:rPr>
          <w:rFonts w:ascii="Times New Roman"/>
          <w:b w:val="false"/>
          <w:i w:val="false"/>
          <w:color w:val="000000"/>
          <w:sz w:val="28"/>
        </w:rPr>
        <w:t>
      Участник сделки после подписания председателем Комитета либо должностным лицом, на которое возложено исполнение обязанностей председателя Комитета, в течение 10 (десяти) рабочих дней с даты подписания Соглашения участником сделки направляет его в Комитет.</w:t>
      </w:r>
    </w:p>
    <w:bookmarkEnd w:id="40"/>
    <w:bookmarkStart w:name="z47" w:id="41"/>
    <w:p>
      <w:pPr>
        <w:spacing w:after="0"/>
        <w:ind w:left="0"/>
        <w:jc w:val="both"/>
      </w:pPr>
      <w:r>
        <w:rPr>
          <w:rFonts w:ascii="Times New Roman"/>
          <w:b w:val="false"/>
          <w:i w:val="false"/>
          <w:color w:val="000000"/>
          <w:sz w:val="28"/>
        </w:rPr>
        <w:t>
      В случае принятия решения об отказе заключения Соглашения Комитетом в течение 5 (пяти) рабочих дней со дня принятия решения по результатам рассмотрения заявления участника сделки на заключение Соглашения участнику сделки направляется письменный ответ с причинами отказа в его заключении.</w:t>
      </w:r>
    </w:p>
    <w:bookmarkEnd w:id="41"/>
    <w:bookmarkStart w:name="z48" w:id="42"/>
    <w:p>
      <w:pPr>
        <w:spacing w:after="0"/>
        <w:ind w:left="0"/>
        <w:jc w:val="both"/>
      </w:pPr>
      <w:r>
        <w:rPr>
          <w:rFonts w:ascii="Times New Roman"/>
          <w:b w:val="false"/>
          <w:i w:val="false"/>
          <w:color w:val="000000"/>
          <w:sz w:val="28"/>
        </w:rPr>
        <w:t>
      6. Комитет отказывает участнику сделки в заключении Соглашения в следующих случаях:</w:t>
      </w:r>
    </w:p>
    <w:bookmarkEnd w:id="42"/>
    <w:bookmarkStart w:name="z49" w:id="43"/>
    <w:p>
      <w:pPr>
        <w:spacing w:after="0"/>
        <w:ind w:left="0"/>
        <w:jc w:val="both"/>
      </w:pPr>
      <w:r>
        <w:rPr>
          <w:rFonts w:ascii="Times New Roman"/>
          <w:b w:val="false"/>
          <w:i w:val="false"/>
          <w:color w:val="000000"/>
          <w:sz w:val="28"/>
        </w:rPr>
        <w:t>
      1) отсутствия одного из документов и информации, предусмотренные подпунктами 1), 2), 3), 4), 5), 6), 7), 8) и 9) пункта 4 настоящих Правил.</w:t>
      </w:r>
    </w:p>
    <w:bookmarkEnd w:id="43"/>
    <w:bookmarkStart w:name="z50" w:id="44"/>
    <w:p>
      <w:pPr>
        <w:spacing w:after="0"/>
        <w:ind w:left="0"/>
        <w:jc w:val="both"/>
      </w:pPr>
      <w:r>
        <w:rPr>
          <w:rFonts w:ascii="Times New Roman"/>
          <w:b w:val="false"/>
          <w:i w:val="false"/>
          <w:color w:val="000000"/>
          <w:sz w:val="28"/>
        </w:rPr>
        <w:t>
      При этом допускается непредставление документов, указанных в подпунктах 4), 5), 7), 8) и 9) пункта 4 настоящих Правил, в случае наличия письменного обоснования о невозможности их представления от участника сделки;</w:t>
      </w:r>
    </w:p>
    <w:bookmarkEnd w:id="44"/>
    <w:bookmarkStart w:name="z51" w:id="45"/>
    <w:p>
      <w:pPr>
        <w:spacing w:after="0"/>
        <w:ind w:left="0"/>
        <w:jc w:val="both"/>
      </w:pPr>
      <w:r>
        <w:rPr>
          <w:rFonts w:ascii="Times New Roman"/>
          <w:b w:val="false"/>
          <w:i w:val="false"/>
          <w:color w:val="000000"/>
          <w:sz w:val="28"/>
        </w:rPr>
        <w:t>
      2) при непредставлении участником сделки письменного обоснования о невозможности предоставления полного перечня документов, необходимых для заключения Соглашения согласно пункту 4 настоящих Правил;</w:t>
      </w:r>
    </w:p>
    <w:bookmarkEnd w:id="45"/>
    <w:bookmarkStart w:name="z52" w:id="46"/>
    <w:p>
      <w:pPr>
        <w:spacing w:after="0"/>
        <w:ind w:left="0"/>
        <w:jc w:val="both"/>
      </w:pPr>
      <w:r>
        <w:rPr>
          <w:rFonts w:ascii="Times New Roman"/>
          <w:b w:val="false"/>
          <w:i w:val="false"/>
          <w:color w:val="000000"/>
          <w:sz w:val="28"/>
        </w:rPr>
        <w:t xml:space="preserve">
      3) при несоответствии выбранного метода, предлагаемого для определения рыночной цены, методологии определения рыночной цены и формулы ценообразования определения рыночной цены положениям </w:t>
      </w:r>
      <w:r>
        <w:rPr>
          <w:rFonts w:ascii="Times New Roman"/>
          <w:b w:val="false"/>
          <w:i w:val="false"/>
          <w:color w:val="000000"/>
          <w:sz w:val="28"/>
        </w:rPr>
        <w:t>Закона</w:t>
      </w:r>
      <w:r>
        <w:rPr>
          <w:rFonts w:ascii="Times New Roman"/>
          <w:b w:val="false"/>
          <w:i w:val="false"/>
          <w:color w:val="000000"/>
          <w:sz w:val="28"/>
        </w:rPr>
        <w:t>;</w:t>
      </w:r>
    </w:p>
    <w:bookmarkEnd w:id="46"/>
    <w:bookmarkStart w:name="z53" w:id="47"/>
    <w:p>
      <w:pPr>
        <w:spacing w:after="0"/>
        <w:ind w:left="0"/>
        <w:jc w:val="both"/>
      </w:pPr>
      <w:r>
        <w:rPr>
          <w:rFonts w:ascii="Times New Roman"/>
          <w:b w:val="false"/>
          <w:i w:val="false"/>
          <w:color w:val="000000"/>
          <w:sz w:val="28"/>
        </w:rPr>
        <w:t xml:space="preserve">
      4) при возможности использования иных источников информации, применяемых для определения рыночной цены с учетом последовательности, установленной </w:t>
      </w:r>
      <w:r>
        <w:rPr>
          <w:rFonts w:ascii="Times New Roman"/>
          <w:b w:val="false"/>
          <w:i w:val="false"/>
          <w:color w:val="000000"/>
          <w:sz w:val="28"/>
        </w:rPr>
        <w:t>статьей 18</w:t>
      </w:r>
      <w:r>
        <w:rPr>
          <w:rFonts w:ascii="Times New Roman"/>
          <w:b w:val="false"/>
          <w:i w:val="false"/>
          <w:color w:val="000000"/>
          <w:sz w:val="28"/>
        </w:rPr>
        <w:t xml:space="preserve"> Закона, и не предусмотренных в заявлении участника сделки на заключение Соглашения.</w:t>
      </w:r>
    </w:p>
    <w:bookmarkEnd w:id="47"/>
    <w:bookmarkStart w:name="z54" w:id="48"/>
    <w:p>
      <w:pPr>
        <w:spacing w:after="0"/>
        <w:ind w:left="0"/>
        <w:jc w:val="both"/>
      </w:pPr>
      <w:r>
        <w:rPr>
          <w:rFonts w:ascii="Times New Roman"/>
          <w:b w:val="false"/>
          <w:i w:val="false"/>
          <w:color w:val="000000"/>
          <w:sz w:val="28"/>
        </w:rPr>
        <w:t xml:space="preserve">
      7. Комитет запрашивает документы (информацию), имеющие отношение к заключаемому Соглашению, согласно </w:t>
      </w:r>
      <w:r>
        <w:rPr>
          <w:rFonts w:ascii="Times New Roman"/>
          <w:b w:val="false"/>
          <w:i w:val="false"/>
          <w:color w:val="000000"/>
          <w:sz w:val="28"/>
        </w:rPr>
        <w:t>статье 8</w:t>
      </w:r>
      <w:r>
        <w:rPr>
          <w:rFonts w:ascii="Times New Roman"/>
          <w:b w:val="false"/>
          <w:i w:val="false"/>
          <w:color w:val="000000"/>
          <w:sz w:val="28"/>
        </w:rPr>
        <w:t xml:space="preserve"> Закона.</w:t>
      </w:r>
    </w:p>
    <w:bookmarkEnd w:id="48"/>
    <w:bookmarkStart w:name="z55" w:id="49"/>
    <w:p>
      <w:pPr>
        <w:spacing w:after="0"/>
        <w:ind w:left="0"/>
        <w:jc w:val="both"/>
      </w:pPr>
      <w:r>
        <w:rPr>
          <w:rFonts w:ascii="Times New Roman"/>
          <w:b w:val="false"/>
          <w:i w:val="false"/>
          <w:color w:val="000000"/>
          <w:sz w:val="28"/>
        </w:rPr>
        <w:t>
      8. По взаимному согласованию Комитета и участника сделки Соглашение расторгается ранее предусмотренного срока действия, при этом условия Соглашения до момента расторжения сохраняют свою силу. Если Комитет выявит нарушения положений Соглашения со стороны участника сделки, влекущих потери государственных доходов, Комитет расторгает в одностороннем порядке Соглашение.</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