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058b" w14:textId="83d0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5 апреля 2022 года № 27. Зарегистрировано в Министерстве юстиции Республики Казахстан 6 апреля 2022 года № 27463</w:t>
      </w:r>
    </w:p>
    <w:p>
      <w:pPr>
        <w:spacing w:after="0"/>
        <w:ind w:left="0"/>
        <w:jc w:val="both"/>
      </w:pPr>
      <w:bookmarkStart w:name="z4" w:id="0"/>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ПОСТАНОВЛЯЕТ: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 и дополнения: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 (далее – Нормативы):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"9. Минимальный размер маржи платежеспособности страховой (перестраховочной) организации увеличивается на сумму страховых премий,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заключенным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рассчитанной по Таблице увеличения минимального размера маржи платежеспособности от страховых премий, передаваемых (переданных) в перестрахование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 до 1 января 2023 года.</w:t>
      </w:r>
    </w:p>
    <w:bookmarkEnd w:id="3"/>
    <w:bookmarkStart w:name="z9" w:id="4"/>
    <w:p>
      <w:pPr>
        <w:spacing w:after="0"/>
        <w:ind w:left="0"/>
        <w:jc w:val="both"/>
      </w:pPr>
      <w:r>
        <w:rPr>
          <w:rFonts w:ascii="Times New Roman"/>
          <w:b w:val="false"/>
          <w:i w:val="false"/>
          <w:color w:val="000000"/>
          <w:sz w:val="28"/>
        </w:rPr>
        <w:t>
      Минимальный размер маржи платежеспособности страховой (перестраховочной) организации увеличивается на сумму обязательств, передаваемых (переданных) в перестрахование страховым (перестраховочным) организациям - резидентам и нерезидентам Республики Казахстан по действующим договорам перестрахования, заключенным в зависимости от рейтинговой оценки перестраховщика или значения норматива достаточности маржи платежеспособности перестраховочной организации-резидента Республики Казахстан на предыдущую отчетную дату, в соответствии с суммой увеличения минимального размера маржи платежеспособности, рассчитанной по Таблице увеличения минимального размера маржи платежеспособности от объема обязательств, передаваемых (переданных) в перестрахование согласно приложению 3-1 к Нормативам, с 1 января 2023 года.</w:t>
      </w:r>
    </w:p>
    <w:bookmarkEnd w:id="4"/>
    <w:bookmarkStart w:name="z10" w:id="5"/>
    <w:p>
      <w:pPr>
        <w:spacing w:after="0"/>
        <w:ind w:left="0"/>
        <w:jc w:val="both"/>
      </w:pPr>
      <w:r>
        <w:rPr>
          <w:rFonts w:ascii="Times New Roman"/>
          <w:b w:val="false"/>
          <w:i w:val="false"/>
          <w:color w:val="000000"/>
          <w:sz w:val="28"/>
        </w:rPr>
        <w:t>
      Минимальный размер маржи платежеспособности страховой (перестраховочной) организации увеличивается на значение, равное 1 (одному) проценту от текущей стоимости активов, созданных (сформированных) за счет части страховых премий (страховых взносов), полученных от страхователей для целей инвестирования, и доходов (убытков), полученных от их инвестирования, по договорам страхования, предусматривающим условие участия страхователя в инвестициях.";</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главы 3 дополнить пунктами 10-1 и 10-2 следующего содержания:</w:t>
      </w:r>
    </w:p>
    <w:bookmarkStart w:name="z12" w:id="6"/>
    <w:p>
      <w:pPr>
        <w:spacing w:after="0"/>
        <w:ind w:left="0"/>
        <w:jc w:val="both"/>
      </w:pPr>
      <w:r>
        <w:rPr>
          <w:rFonts w:ascii="Times New Roman"/>
          <w:b w:val="false"/>
          <w:i w:val="false"/>
          <w:color w:val="000000"/>
          <w:sz w:val="28"/>
        </w:rPr>
        <w:t>
      "10-1. Невыполнение норматива достаточности маржи платежеспособности страховой (перестраховочной) организацией в период с 28 февраля по 1 сентября 2022 года не считается нарушением в случае, если такое невыполнение является следствием:</w:t>
      </w:r>
    </w:p>
    <w:bookmarkEnd w:id="6"/>
    <w:bookmarkStart w:name="z13" w:id="7"/>
    <w:p>
      <w:pPr>
        <w:spacing w:after="0"/>
        <w:ind w:left="0"/>
        <w:jc w:val="both"/>
      </w:pPr>
      <w:r>
        <w:rPr>
          <w:rFonts w:ascii="Times New Roman"/>
          <w:b w:val="false"/>
          <w:i w:val="false"/>
          <w:color w:val="000000"/>
          <w:sz w:val="28"/>
        </w:rPr>
        <w:t>
      1) переоценки стоимости активов и обязательств страховой (перестраховочной) организации более, чем на 10% в течение 30 (тридцати) календарных дней в связи с изменением биржевого курса тенге к иностранным валютам;</w:t>
      </w:r>
    </w:p>
    <w:bookmarkEnd w:id="7"/>
    <w:bookmarkStart w:name="z14" w:id="8"/>
    <w:p>
      <w:pPr>
        <w:spacing w:after="0"/>
        <w:ind w:left="0"/>
        <w:jc w:val="both"/>
      </w:pPr>
      <w:r>
        <w:rPr>
          <w:rFonts w:ascii="Times New Roman"/>
          <w:b w:val="false"/>
          <w:i w:val="false"/>
          <w:color w:val="000000"/>
          <w:sz w:val="28"/>
        </w:rPr>
        <w:t>
      2) переоценки стоимости ценных бумаг страховой (перестраховочной) организации более, чем на 10% в течение 30 (тридцати) календарных дней в связи с изменением базовой ставки и (или) ставки дисконтирования;</w:t>
      </w:r>
    </w:p>
    <w:bookmarkEnd w:id="8"/>
    <w:bookmarkStart w:name="z15" w:id="9"/>
    <w:p>
      <w:pPr>
        <w:spacing w:after="0"/>
        <w:ind w:left="0"/>
        <w:jc w:val="both"/>
      </w:pPr>
      <w:r>
        <w:rPr>
          <w:rFonts w:ascii="Times New Roman"/>
          <w:b w:val="false"/>
          <w:i w:val="false"/>
          <w:color w:val="000000"/>
          <w:sz w:val="28"/>
        </w:rPr>
        <w:t>
      3) снижения рейтинга эмитента ценных бумаг, приобретенных страховой (перестраховочной) организацией до 21 февраля 2022 года, до уровня "В-" и ниже рейтингового агентства Standard &amp; Poor's (Стандард энд Пурс) или других рейтинговых агентств;</w:t>
      </w:r>
    </w:p>
    <w:bookmarkEnd w:id="9"/>
    <w:bookmarkStart w:name="z16" w:id="10"/>
    <w:p>
      <w:pPr>
        <w:spacing w:after="0"/>
        <w:ind w:left="0"/>
        <w:jc w:val="both"/>
      </w:pPr>
      <w:r>
        <w:rPr>
          <w:rFonts w:ascii="Times New Roman"/>
          <w:b w:val="false"/>
          <w:i w:val="false"/>
          <w:color w:val="000000"/>
          <w:sz w:val="28"/>
        </w:rPr>
        <w:t>
      4) снижения рейтинга банка второго уровня, инвестиции в который принимаются в расчет норматива достаточности маржи платежеспособности, до уровня "В-" и ниже рейтингового агентства Standard &amp; Poor's (Стандард энд Пурс) или других рейтинговых агентств.</w:t>
      </w:r>
    </w:p>
    <w:bookmarkEnd w:id="10"/>
    <w:bookmarkStart w:name="z17" w:id="11"/>
    <w:p>
      <w:pPr>
        <w:spacing w:after="0"/>
        <w:ind w:left="0"/>
        <w:jc w:val="both"/>
      </w:pPr>
      <w:r>
        <w:rPr>
          <w:rFonts w:ascii="Times New Roman"/>
          <w:b w:val="false"/>
          <w:i w:val="false"/>
          <w:color w:val="000000"/>
          <w:sz w:val="28"/>
        </w:rPr>
        <w:t>
      10-2. Страховая (перестраховочная) организация в течение 5 (пяти) рабочих дней со дня выявления факта невыполнения норматива достаточности маржи платежеспособности в соответствии с пунктом 10-1 Нормативов направляет на согласование в уполномоченный орган план мероприятий по повышению нормативов до уровня не менее установленного минимального значения в срок до 6 (шести) месяцев со дня выявления указанного нарушения.</w:t>
      </w:r>
    </w:p>
    <w:bookmarkEnd w:id="11"/>
    <w:bookmarkStart w:name="z18" w:id="12"/>
    <w:p>
      <w:pPr>
        <w:spacing w:after="0"/>
        <w:ind w:left="0"/>
        <w:jc w:val="both"/>
      </w:pPr>
      <w:r>
        <w:rPr>
          <w:rFonts w:ascii="Times New Roman"/>
          <w:b w:val="false"/>
          <w:i w:val="false"/>
          <w:color w:val="000000"/>
          <w:sz w:val="28"/>
        </w:rPr>
        <w:t>
      Невыполнение норматива достаточности маржи платежеспособности в сроки, установленные планом мероприятий, является нарушением.";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дополнить пунктами 41-1 и 41-2 следующего содержания:</w:t>
      </w:r>
    </w:p>
    <w:bookmarkStart w:name="z20" w:id="13"/>
    <w:p>
      <w:pPr>
        <w:spacing w:after="0"/>
        <w:ind w:left="0"/>
        <w:jc w:val="both"/>
      </w:pPr>
      <w:r>
        <w:rPr>
          <w:rFonts w:ascii="Times New Roman"/>
          <w:b w:val="false"/>
          <w:i w:val="false"/>
          <w:color w:val="000000"/>
          <w:sz w:val="28"/>
        </w:rPr>
        <w:t>
      "41-1. Невыполнение норматива достаточности высоколиквидных активов страховой (перестраховочной) организацией в период с 28 февраля по 1 сентября 2022 года не считается нарушением в случае, если такое невыполнение является следствием:</w:t>
      </w:r>
    </w:p>
    <w:bookmarkEnd w:id="13"/>
    <w:bookmarkStart w:name="z21" w:id="14"/>
    <w:p>
      <w:pPr>
        <w:spacing w:after="0"/>
        <w:ind w:left="0"/>
        <w:jc w:val="both"/>
      </w:pPr>
      <w:r>
        <w:rPr>
          <w:rFonts w:ascii="Times New Roman"/>
          <w:b w:val="false"/>
          <w:i w:val="false"/>
          <w:color w:val="000000"/>
          <w:sz w:val="28"/>
        </w:rPr>
        <w:t>
      1) переоценки стоимости активов и обязательств страховой (перестраховочной) организации более, чем на 10% в течение 30 (тридцати) календарных дней в связи с изменением биржевого курса тенге к иностранным валютам;</w:t>
      </w:r>
    </w:p>
    <w:bookmarkEnd w:id="14"/>
    <w:bookmarkStart w:name="z22" w:id="15"/>
    <w:p>
      <w:pPr>
        <w:spacing w:after="0"/>
        <w:ind w:left="0"/>
        <w:jc w:val="both"/>
      </w:pPr>
      <w:r>
        <w:rPr>
          <w:rFonts w:ascii="Times New Roman"/>
          <w:b w:val="false"/>
          <w:i w:val="false"/>
          <w:color w:val="000000"/>
          <w:sz w:val="28"/>
        </w:rPr>
        <w:t>
      2) переоценки стоимости ценных бумаг страховой (перестраховочной) организации более, чем на 10% в течение 30 (тридцати) календарных дней в связи с изменением базовой ставки и (или) ставки дисконтирования;</w:t>
      </w:r>
    </w:p>
    <w:bookmarkEnd w:id="15"/>
    <w:bookmarkStart w:name="z23" w:id="16"/>
    <w:p>
      <w:pPr>
        <w:spacing w:after="0"/>
        <w:ind w:left="0"/>
        <w:jc w:val="both"/>
      </w:pPr>
      <w:r>
        <w:rPr>
          <w:rFonts w:ascii="Times New Roman"/>
          <w:b w:val="false"/>
          <w:i w:val="false"/>
          <w:color w:val="000000"/>
          <w:sz w:val="28"/>
        </w:rPr>
        <w:t>
      3) снижения рейтинга эмитента ценных бумаг, приобретенных страховой (перестраховочной) организацией до 21 февраля 2022 года, до уровня "В-" и ниже рейтингового агентства Standard &amp; Poor's (Стандард энд Пурс) или других рейтинговых агентств;</w:t>
      </w:r>
    </w:p>
    <w:bookmarkEnd w:id="16"/>
    <w:bookmarkStart w:name="z24" w:id="17"/>
    <w:p>
      <w:pPr>
        <w:spacing w:after="0"/>
        <w:ind w:left="0"/>
        <w:jc w:val="both"/>
      </w:pPr>
      <w:r>
        <w:rPr>
          <w:rFonts w:ascii="Times New Roman"/>
          <w:b w:val="false"/>
          <w:i w:val="false"/>
          <w:color w:val="000000"/>
          <w:sz w:val="28"/>
        </w:rPr>
        <w:t>
      4) снижения рейтинга банка второго уровня, инвестиции в который принимаются в расчет норматива достаточности высоколиквидных активов,</w:t>
      </w:r>
    </w:p>
    <w:bookmarkEnd w:id="17"/>
    <w:bookmarkStart w:name="z25" w:id="18"/>
    <w:p>
      <w:pPr>
        <w:spacing w:after="0"/>
        <w:ind w:left="0"/>
        <w:jc w:val="both"/>
      </w:pPr>
      <w:r>
        <w:rPr>
          <w:rFonts w:ascii="Times New Roman"/>
          <w:b w:val="false"/>
          <w:i w:val="false"/>
          <w:color w:val="000000"/>
          <w:sz w:val="28"/>
        </w:rPr>
        <w:t>
      до уровня "В-" и ниже рейтингового агентства Standard &amp; Poor's (Стандард энд Пурс) или других рейтинговых агентств.</w:t>
      </w:r>
    </w:p>
    <w:bookmarkEnd w:id="18"/>
    <w:bookmarkStart w:name="z26" w:id="19"/>
    <w:p>
      <w:pPr>
        <w:spacing w:after="0"/>
        <w:ind w:left="0"/>
        <w:jc w:val="both"/>
      </w:pPr>
      <w:r>
        <w:rPr>
          <w:rFonts w:ascii="Times New Roman"/>
          <w:b w:val="false"/>
          <w:i w:val="false"/>
          <w:color w:val="000000"/>
          <w:sz w:val="28"/>
        </w:rPr>
        <w:t>
      41-2. Страховая (перестраховочная) организация в течение 5 (пяти) рабочих дней со дня выявления факта невыполнения норматива достаточности высоколиквидных активов в соответствии с пунктом 41-1 Нормативов направляет на согласование в уполномоченный орган план мероприятий по повышению нормативов до уровня не менее установленного минимального значения в срок до 6 (шести) месяцев со дня выявления указанного нарушения.</w:t>
      </w:r>
    </w:p>
    <w:bookmarkEnd w:id="19"/>
    <w:bookmarkStart w:name="z27" w:id="20"/>
    <w:p>
      <w:pPr>
        <w:spacing w:after="0"/>
        <w:ind w:left="0"/>
        <w:jc w:val="both"/>
      </w:pPr>
      <w:r>
        <w:rPr>
          <w:rFonts w:ascii="Times New Roman"/>
          <w:b w:val="false"/>
          <w:i w:val="false"/>
          <w:color w:val="000000"/>
          <w:sz w:val="28"/>
        </w:rPr>
        <w:t>
      Невыполнение норматива достаточности высоколиквидных активов в сроки, установленные планом мероприятий, является нарушением.";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пунктом 44-1 следующего содержания:</w:t>
      </w:r>
    </w:p>
    <w:bookmarkStart w:name="z29" w:id="21"/>
    <w:p>
      <w:pPr>
        <w:spacing w:after="0"/>
        <w:ind w:left="0"/>
        <w:jc w:val="both"/>
      </w:pPr>
      <w:r>
        <w:rPr>
          <w:rFonts w:ascii="Times New Roman"/>
          <w:b w:val="false"/>
          <w:i w:val="false"/>
          <w:color w:val="000000"/>
          <w:sz w:val="28"/>
        </w:rPr>
        <w:t>
      "44-1. Невыполнение нормативов диверсификации активов страховой (перестраховочной) организацией в период с 28 февраля по 1 сентября 2022 года не считается нарушением в случае, если такое невыполнение является следствием:</w:t>
      </w:r>
    </w:p>
    <w:bookmarkEnd w:id="21"/>
    <w:bookmarkStart w:name="z30" w:id="22"/>
    <w:p>
      <w:pPr>
        <w:spacing w:after="0"/>
        <w:ind w:left="0"/>
        <w:jc w:val="both"/>
      </w:pPr>
      <w:r>
        <w:rPr>
          <w:rFonts w:ascii="Times New Roman"/>
          <w:b w:val="false"/>
          <w:i w:val="false"/>
          <w:color w:val="000000"/>
          <w:sz w:val="28"/>
        </w:rPr>
        <w:t>
      1) переоценки стоимости активов и обязательств страховой (перестраховочной) организации более, чем на 10% в течение 30 (тридцати) календарных дней, в связи с изменением биржевого курса тенге к иностранным валютам;</w:t>
      </w:r>
    </w:p>
    <w:bookmarkEnd w:id="22"/>
    <w:bookmarkStart w:name="z31" w:id="23"/>
    <w:p>
      <w:pPr>
        <w:spacing w:after="0"/>
        <w:ind w:left="0"/>
        <w:jc w:val="both"/>
      </w:pPr>
      <w:r>
        <w:rPr>
          <w:rFonts w:ascii="Times New Roman"/>
          <w:b w:val="false"/>
          <w:i w:val="false"/>
          <w:color w:val="000000"/>
          <w:sz w:val="28"/>
        </w:rPr>
        <w:t>
      2) переоценки стоимости ценных бумаг страховой (перестраховочной) организации более, чем на 10% в течение 30 (тридцати) календарных дней в связи с изменением базовой ставки и (или) ставки дисконтирования;</w:t>
      </w:r>
    </w:p>
    <w:bookmarkEnd w:id="23"/>
    <w:bookmarkStart w:name="z32" w:id="24"/>
    <w:p>
      <w:pPr>
        <w:spacing w:after="0"/>
        <w:ind w:left="0"/>
        <w:jc w:val="both"/>
      </w:pPr>
      <w:r>
        <w:rPr>
          <w:rFonts w:ascii="Times New Roman"/>
          <w:b w:val="false"/>
          <w:i w:val="false"/>
          <w:color w:val="000000"/>
          <w:sz w:val="28"/>
        </w:rPr>
        <w:t>
      3) снижения рейтинга эмитента ценных бумаг, приобретенных страховой (перестраховочной) организацией до 21 февраля 2022 года, до уровня "В-" и ниже рейтингового агентства Standard &amp; Poor's (Стандард энд Пурс) или других рейтинговых агентств;</w:t>
      </w:r>
    </w:p>
    <w:bookmarkEnd w:id="24"/>
    <w:bookmarkStart w:name="z33" w:id="25"/>
    <w:p>
      <w:pPr>
        <w:spacing w:after="0"/>
        <w:ind w:left="0"/>
        <w:jc w:val="both"/>
      </w:pPr>
      <w:r>
        <w:rPr>
          <w:rFonts w:ascii="Times New Roman"/>
          <w:b w:val="false"/>
          <w:i w:val="false"/>
          <w:color w:val="000000"/>
          <w:sz w:val="28"/>
        </w:rPr>
        <w:t>
      4) снижения рейтинга банка второго уровня, инвестиции которого принимаются в расчет диверсификации активов до уровня "В-" и ниже рейтингового агентства Standard &amp; Poor's (Стандард энд Пурс) или других рейтинговых агентств.</w:t>
      </w:r>
    </w:p>
    <w:bookmarkEnd w:id="25"/>
    <w:bookmarkStart w:name="z34" w:id="26"/>
    <w:p>
      <w:pPr>
        <w:spacing w:after="0"/>
        <w:ind w:left="0"/>
        <w:jc w:val="both"/>
      </w:pPr>
      <w:r>
        <w:rPr>
          <w:rFonts w:ascii="Times New Roman"/>
          <w:b w:val="false"/>
          <w:i w:val="false"/>
          <w:color w:val="000000"/>
          <w:sz w:val="28"/>
        </w:rPr>
        <w:t>
      Страховая (перестраховочная) организация в течение 5 (пяти) рабочих дней со дня выявления нарушения норматива диверсификации активов, направляет на согласование в уполномоченный орган план мероприятий по приведению нормативов диверсификации в соответствие с требованиями пункта 42 Нормативов в течение 6 (шести) месяцев с даты превышения данных нормативов диверсификации активов.</w:t>
      </w:r>
    </w:p>
    <w:bookmarkEnd w:id="26"/>
    <w:bookmarkStart w:name="z35" w:id="27"/>
    <w:p>
      <w:pPr>
        <w:spacing w:after="0"/>
        <w:ind w:left="0"/>
        <w:jc w:val="both"/>
      </w:pPr>
      <w:r>
        <w:rPr>
          <w:rFonts w:ascii="Times New Roman"/>
          <w:b w:val="false"/>
          <w:i w:val="false"/>
          <w:color w:val="000000"/>
          <w:sz w:val="28"/>
        </w:rPr>
        <w:t>
      Невыполнение нормативов диверсификации активов страховой (перестраховочной) организацией в сроки, установленные планом мероприятий, является нарушением.";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"46. Размер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рассчитывается актуарием в соответствии с политикой перестрахования, утвержденной советом директоров страховой (перестраховочной) организации.</w:t>
      </w:r>
    </w:p>
    <w:bookmarkEnd w:id="28"/>
    <w:bookmarkStart w:name="z38" w:id="29"/>
    <w:p>
      <w:pPr>
        <w:spacing w:after="0"/>
        <w:ind w:left="0"/>
        <w:jc w:val="both"/>
      </w:pPr>
      <w:r>
        <w:rPr>
          <w:rFonts w:ascii="Times New Roman"/>
          <w:b w:val="false"/>
          <w:i w:val="false"/>
          <w:color w:val="000000"/>
          <w:sz w:val="28"/>
        </w:rPr>
        <w:t>
      Максимальный размер собственного удержания страховой (перестраховочной) организации по отдельному договору страхования на дату заключения и внесения изменений в договор страхования (перестрахования) (в части объема обязательств) не превышает по договорам страхования (входящего перестрахования):</w:t>
      </w:r>
    </w:p>
    <w:bookmarkEnd w:id="29"/>
    <w:bookmarkStart w:name="z39" w:id="30"/>
    <w:p>
      <w:pPr>
        <w:spacing w:after="0"/>
        <w:ind w:left="0"/>
        <w:jc w:val="both"/>
      </w:pPr>
      <w:r>
        <w:rPr>
          <w:rFonts w:ascii="Times New Roman"/>
          <w:b w:val="false"/>
          <w:i w:val="false"/>
          <w:color w:val="000000"/>
          <w:sz w:val="28"/>
        </w:rPr>
        <w:t>
      100 (сто) процентов по отношению к размеру фактической маржи платежеспособности страховой (перестраховочной) организации с рейтингом не ниже "ВВВ" рейтингового агентства Standard &amp; Poor's (Стандард энд Пурс) или других рейтинговых агентств, но не более 16,5 миллионов МРП (16 500 000 МРП), при значении норматива достаточности маржи платежеспособности не ниже уровня, превышающего минимальное значение норматива достаточности маржи платежеспособности, установленное Нормативами, на 0,2 пункта;</w:t>
      </w:r>
    </w:p>
    <w:bookmarkEnd w:id="30"/>
    <w:bookmarkStart w:name="z40" w:id="31"/>
    <w:p>
      <w:pPr>
        <w:spacing w:after="0"/>
        <w:ind w:left="0"/>
        <w:jc w:val="both"/>
      </w:pPr>
      <w:r>
        <w:rPr>
          <w:rFonts w:ascii="Times New Roman"/>
          <w:b w:val="false"/>
          <w:i w:val="false"/>
          <w:color w:val="000000"/>
          <w:sz w:val="28"/>
        </w:rPr>
        <w:t>
      100 (сто) процентов по отношению к размеру фактической маржи платежеспособности страховой (перестраховочной) организации, но не более 8, 2 миллиона МРП (8 200 000 МРП), при значении норматива достаточности маржи платежеспособности не ниже уровня, превышающего минимальное значение норматива достаточности маржи платежеспособности, установленное Нормативами, на 0,2 пункта;</w:t>
      </w:r>
    </w:p>
    <w:bookmarkEnd w:id="31"/>
    <w:bookmarkStart w:name="z41" w:id="32"/>
    <w:p>
      <w:pPr>
        <w:spacing w:after="0"/>
        <w:ind w:left="0"/>
        <w:jc w:val="both"/>
      </w:pPr>
      <w:r>
        <w:rPr>
          <w:rFonts w:ascii="Times New Roman"/>
          <w:b w:val="false"/>
          <w:i w:val="false"/>
          <w:color w:val="000000"/>
          <w:sz w:val="28"/>
        </w:rPr>
        <w:t>
      80 (восемьдесят) процентов по отношению к размеру фактической маржи платежеспособности страховой (перестраховочной) организации, но не более 8, 2 миллиона МРП (8 200 000 МРП), при значении норматива достаточности маржи платежеспособности ниже уровня, превышающего минимальное значение норматива достаточности маржи платежеспособности, установленное Нормативами, на 0,2 пункта.</w:t>
      </w:r>
    </w:p>
    <w:bookmarkEnd w:id="32"/>
    <w:bookmarkStart w:name="z42" w:id="33"/>
    <w:p>
      <w:pPr>
        <w:spacing w:after="0"/>
        <w:ind w:left="0"/>
        <w:jc w:val="both"/>
      </w:pPr>
      <w:r>
        <w:rPr>
          <w:rFonts w:ascii="Times New Roman"/>
          <w:b w:val="false"/>
          <w:i w:val="false"/>
          <w:color w:val="000000"/>
          <w:sz w:val="28"/>
        </w:rPr>
        <w:t>
      При групповом страховании, а также по договорам обязательного страхования работника от несчастных случаев при исполнении им трудовых (служебных) обязанностей, обязательного страхования туриста, расчет, указанный в части второй настоящего пункта, осуществляется по каждому застрахованному отдельно.</w:t>
      </w:r>
    </w:p>
    <w:bookmarkEnd w:id="33"/>
    <w:bookmarkStart w:name="z43" w:id="34"/>
    <w:p>
      <w:pPr>
        <w:spacing w:after="0"/>
        <w:ind w:left="0"/>
        <w:jc w:val="both"/>
      </w:pPr>
      <w:r>
        <w:rPr>
          <w:rFonts w:ascii="Times New Roman"/>
          <w:b w:val="false"/>
          <w:i w:val="false"/>
          <w:color w:val="000000"/>
          <w:sz w:val="28"/>
        </w:rPr>
        <w:t>
      При состраховании (совместном перестраховании) расчет, указанный в части второй настоящего пункта, осуществляется исходя из доли от страховой суммы каждого страховщика (перестраховщика).";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45" w:id="35"/>
    <w:p>
      <w:pPr>
        <w:spacing w:after="0"/>
        <w:ind w:left="0"/>
        <w:jc w:val="both"/>
      </w:pPr>
      <w:r>
        <w:rPr>
          <w:rFonts w:ascii="Times New Roman"/>
          <w:b w:val="false"/>
          <w:i w:val="false"/>
          <w:color w:val="000000"/>
          <w:sz w:val="28"/>
        </w:rPr>
        <w:t xml:space="preserve">
      дополнить приложением 3-1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5"/>
    <w:bookmarkStart w:name="z46" w:id="36"/>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36"/>
    <w:bookmarkStart w:name="z47" w:id="3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7"/>
    <w:bookmarkStart w:name="z48" w:id="3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38"/>
    <w:bookmarkStart w:name="z49" w:id="3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39"/>
    <w:bookmarkStart w:name="z50" w:id="4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40"/>
    <w:bookmarkStart w:name="z51" w:id="41"/>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 и распространяется на правоотношения, возникшие с 1 марта 2022 года.</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53" w:id="42"/>
      <w:r>
        <w:rPr>
          <w:rFonts w:ascii="Times New Roman"/>
          <w:b w:val="false"/>
          <w:i w:val="false"/>
          <w:color w:val="000000"/>
          <w:sz w:val="28"/>
        </w:rPr>
        <w:t>
      "СОГЛАСОВАНО"</w:t>
      </w:r>
    </w:p>
    <w:bookmarkEnd w:id="4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 xml:space="preserve">Агентства Республики </w:t>
            </w:r>
            <w:r>
              <w:br/>
            </w:r>
            <w:r>
              <w:rPr>
                <w:rFonts w:ascii="Times New Roman"/>
                <w:b w:val="false"/>
                <w:i w:val="false"/>
                <w:color w:val="000000"/>
                <w:sz w:val="20"/>
              </w:rPr>
              <w:t>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5 апреля 2022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 xml:space="preserve">Нормативным значениям и </w:t>
            </w:r>
            <w:r>
              <w:br/>
            </w:r>
            <w:r>
              <w:rPr>
                <w:rFonts w:ascii="Times New Roman"/>
                <w:b w:val="false"/>
                <w:i w:val="false"/>
                <w:color w:val="000000"/>
                <w:sz w:val="20"/>
              </w:rPr>
              <w:t>методике</w:t>
            </w:r>
            <w:r>
              <w:br/>
            </w:r>
            <w:r>
              <w:rPr>
                <w:rFonts w:ascii="Times New Roman"/>
                <w:b w:val="false"/>
                <w:i w:val="false"/>
                <w:color w:val="000000"/>
                <w:sz w:val="20"/>
              </w:rPr>
              <w:t xml:space="preserve">расчетов пруденциальных </w:t>
            </w:r>
            <w:r>
              <w:br/>
            </w:r>
            <w:r>
              <w:rPr>
                <w:rFonts w:ascii="Times New Roman"/>
                <w:b w:val="false"/>
                <w:i w:val="false"/>
                <w:color w:val="000000"/>
                <w:sz w:val="20"/>
              </w:rPr>
              <w:t>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p>
        </w:tc>
      </w:tr>
    </w:tbl>
    <w:bookmarkStart w:name="z56" w:id="43"/>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страховых премий, передаваемых (переданных) в перестрахование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передаваемых (переданных)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страховых премий, передаваемых (переданных)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Законом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w:t>
            </w:r>
            <w:r>
              <w:br/>
            </w:r>
            <w:r>
              <w:rPr>
                <w:rFonts w:ascii="Times New Roman"/>
                <w:b w:val="false"/>
                <w:i w:val="false"/>
                <w:color w:val="000000"/>
                <w:sz w:val="20"/>
              </w:rPr>
              <w:t xml:space="preserve">Нормативным значениям и </w:t>
            </w:r>
            <w:r>
              <w:br/>
            </w:r>
            <w:r>
              <w:rPr>
                <w:rFonts w:ascii="Times New Roman"/>
                <w:b w:val="false"/>
                <w:i w:val="false"/>
                <w:color w:val="000000"/>
                <w:sz w:val="20"/>
              </w:rPr>
              <w:t>методике</w:t>
            </w:r>
            <w:r>
              <w:br/>
            </w:r>
            <w:r>
              <w:rPr>
                <w:rFonts w:ascii="Times New Roman"/>
                <w:b w:val="false"/>
                <w:i w:val="false"/>
                <w:color w:val="000000"/>
                <w:sz w:val="20"/>
              </w:rPr>
              <w:t xml:space="preserve">расчетов пруденциальных </w:t>
            </w:r>
            <w:r>
              <w:br/>
            </w:r>
            <w:r>
              <w:rPr>
                <w:rFonts w:ascii="Times New Roman"/>
                <w:b w:val="false"/>
                <w:i w:val="false"/>
                <w:color w:val="000000"/>
                <w:sz w:val="20"/>
              </w:rPr>
              <w:t>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p>
        </w:tc>
      </w:tr>
    </w:tbl>
    <w:bookmarkStart w:name="z59" w:id="44"/>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объема обязательств, передаваемых (переданных) в перестрахование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передаваемых (переданных)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объема обязательств, передаваемых (переданных)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Законом Республики Казахстан от 14 октября 2014 года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