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0bb5" w14:textId="5500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марта 2021 года № 25. Зарегистрировано в Министерстве юстиции Республики Казахстан 12 марта 2021 года № 22330.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пунктом 12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форму отчета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форму отчета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форму отчета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5) форму отчета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6) форму отчета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xml:space="preserve">
      7) Правила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3" w:id="9"/>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 ежемесячно не позднее 6 (шестого) рабочего дня месяца, следующего за отчетным месяцем, отчетность, предусмотренную подпунктами 2), 3), 4), 5) и 6) пункта 1 настоящего постановления.</w:t>
      </w:r>
    </w:p>
    <w:bookmarkEnd w:id="9"/>
    <w:bookmarkStart w:name="z14" w:id="10"/>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10"/>
    <w:bookmarkStart w:name="z15" w:id="11"/>
    <w:p>
      <w:pPr>
        <w:spacing w:after="0"/>
        <w:ind w:left="0"/>
        <w:jc w:val="both"/>
      </w:pPr>
      <w:r>
        <w:rPr>
          <w:rFonts w:ascii="Times New Roman"/>
          <w:b w:val="false"/>
          <w:i w:val="false"/>
          <w:color w:val="000000"/>
          <w:sz w:val="28"/>
        </w:rPr>
        <w:t>
      1) совместно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2"/>
    <w:bookmarkStart w:name="z17"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3"/>
    <w:bookmarkStart w:name="z18" w:id="14"/>
    <w:p>
      <w:pPr>
        <w:spacing w:after="0"/>
        <w:ind w:left="0"/>
        <w:jc w:val="both"/>
      </w:pPr>
      <w:r>
        <w:rPr>
          <w:rFonts w:ascii="Times New Roman"/>
          <w:b w:val="false"/>
          <w:i w:val="false"/>
          <w:color w:val="000000"/>
          <w:sz w:val="28"/>
        </w:rPr>
        <w:t xml:space="preserve">
      4.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4"/>
    <w:bookmarkStart w:name="z19" w:id="1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15"/>
    <w:bookmarkStart w:name="z20" w:id="1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3"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25</w:t>
            </w:r>
          </w:p>
        </w:tc>
      </w:tr>
    </w:tbl>
    <w:bookmarkStart w:name="z25" w:id="19"/>
    <w:p>
      <w:pPr>
        <w:spacing w:after="0"/>
        <w:ind w:left="0"/>
        <w:jc w:val="left"/>
      </w:pPr>
      <w:r>
        <w:rPr>
          <w:rFonts w:ascii="Times New Roman"/>
          <w:b/>
          <w:i w:val="false"/>
          <w:color w:val="000000"/>
        </w:rPr>
        <w:t xml:space="preserve"> Перечень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w:t>
      </w:r>
    </w:p>
    <w:bookmarkEnd w:id="19"/>
    <w:bookmarkStart w:name="z26" w:id="20"/>
    <w:p>
      <w:pPr>
        <w:spacing w:after="0"/>
        <w:ind w:left="0"/>
        <w:jc w:val="both"/>
      </w:pPr>
      <w:r>
        <w:rPr>
          <w:rFonts w:ascii="Times New Roman"/>
          <w:b w:val="false"/>
          <w:i w:val="false"/>
          <w:color w:val="000000"/>
          <w:sz w:val="28"/>
        </w:rPr>
        <w:t>
      Отчетность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включает в себя:</w:t>
      </w:r>
    </w:p>
    <w:bookmarkEnd w:id="20"/>
    <w:bookmarkStart w:name="z27" w:id="21"/>
    <w:p>
      <w:pPr>
        <w:spacing w:after="0"/>
        <w:ind w:left="0"/>
        <w:jc w:val="both"/>
      </w:pPr>
      <w:r>
        <w:rPr>
          <w:rFonts w:ascii="Times New Roman"/>
          <w:b w:val="false"/>
          <w:i w:val="false"/>
          <w:color w:val="000000"/>
          <w:sz w:val="28"/>
        </w:rPr>
        <w:t>
      1) отчет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w:t>
      </w:r>
    </w:p>
    <w:bookmarkEnd w:id="21"/>
    <w:bookmarkStart w:name="z28" w:id="22"/>
    <w:p>
      <w:pPr>
        <w:spacing w:after="0"/>
        <w:ind w:left="0"/>
        <w:jc w:val="both"/>
      </w:pPr>
      <w:r>
        <w:rPr>
          <w:rFonts w:ascii="Times New Roman"/>
          <w:b w:val="false"/>
          <w:i w:val="false"/>
          <w:color w:val="000000"/>
          <w:sz w:val="28"/>
        </w:rPr>
        <w:t>
      2) отчет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w:t>
      </w:r>
    </w:p>
    <w:bookmarkEnd w:id="22"/>
    <w:bookmarkStart w:name="z29" w:id="23"/>
    <w:p>
      <w:pPr>
        <w:spacing w:after="0"/>
        <w:ind w:left="0"/>
        <w:jc w:val="both"/>
      </w:pPr>
      <w:r>
        <w:rPr>
          <w:rFonts w:ascii="Times New Roman"/>
          <w:b w:val="false"/>
          <w:i w:val="false"/>
          <w:color w:val="000000"/>
          <w:sz w:val="28"/>
        </w:rPr>
        <w:t>
      3)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p>
    <w:bookmarkEnd w:id="23"/>
    <w:bookmarkStart w:name="z30" w:id="24"/>
    <w:p>
      <w:pPr>
        <w:spacing w:after="0"/>
        <w:ind w:left="0"/>
        <w:jc w:val="both"/>
      </w:pPr>
      <w:r>
        <w:rPr>
          <w:rFonts w:ascii="Times New Roman"/>
          <w:b w:val="false"/>
          <w:i w:val="false"/>
          <w:color w:val="000000"/>
          <w:sz w:val="28"/>
        </w:rPr>
        <w:t>
      4)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p>
    <w:bookmarkEnd w:id="24"/>
    <w:bookmarkStart w:name="z31" w:id="25"/>
    <w:p>
      <w:pPr>
        <w:spacing w:after="0"/>
        <w:ind w:left="0"/>
        <w:jc w:val="both"/>
      </w:pPr>
      <w:r>
        <w:rPr>
          <w:rFonts w:ascii="Times New Roman"/>
          <w:b w:val="false"/>
          <w:i w:val="false"/>
          <w:color w:val="000000"/>
          <w:sz w:val="28"/>
        </w:rPr>
        <w:t>
      5) отчет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33" w:id="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
    <w:bookmarkStart w:name="z34" w:id="2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
    <w:bookmarkStart w:name="z35" w:id="2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8"/>
    <w:bookmarkStart w:name="z36" w:id="29"/>
    <w:p>
      <w:pPr>
        <w:spacing w:after="0"/>
        <w:ind w:left="0"/>
        <w:jc w:val="both"/>
      </w:pPr>
      <w:r>
        <w:rPr>
          <w:rFonts w:ascii="Times New Roman"/>
          <w:b w:val="false"/>
          <w:i w:val="false"/>
          <w:color w:val="000000"/>
          <w:sz w:val="28"/>
        </w:rPr>
        <w:t>
      Отчет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w:t>
      </w:r>
    </w:p>
    <w:bookmarkEnd w:id="29"/>
    <w:bookmarkStart w:name="z37" w:id="30"/>
    <w:p>
      <w:pPr>
        <w:spacing w:after="0"/>
        <w:ind w:left="0"/>
        <w:jc w:val="both"/>
      </w:pPr>
      <w:r>
        <w:rPr>
          <w:rFonts w:ascii="Times New Roman"/>
          <w:b w:val="false"/>
          <w:i w:val="false"/>
          <w:color w:val="000000"/>
          <w:sz w:val="28"/>
        </w:rPr>
        <w:t>
      Индекс формы административных данных: 1-PN_S</w:t>
      </w:r>
    </w:p>
    <w:bookmarkEnd w:id="30"/>
    <w:bookmarkStart w:name="z38" w:id="31"/>
    <w:p>
      <w:pPr>
        <w:spacing w:after="0"/>
        <w:ind w:left="0"/>
        <w:jc w:val="both"/>
      </w:pPr>
      <w:r>
        <w:rPr>
          <w:rFonts w:ascii="Times New Roman"/>
          <w:b w:val="false"/>
          <w:i w:val="false"/>
          <w:color w:val="000000"/>
          <w:sz w:val="28"/>
        </w:rPr>
        <w:t>
      Периодичность: ежемесячная</w:t>
      </w:r>
    </w:p>
    <w:bookmarkEnd w:id="31"/>
    <w:bookmarkStart w:name="z39" w:id="32"/>
    <w:p>
      <w:pPr>
        <w:spacing w:after="0"/>
        <w:ind w:left="0"/>
        <w:jc w:val="both"/>
      </w:pPr>
      <w:r>
        <w:rPr>
          <w:rFonts w:ascii="Times New Roman"/>
          <w:b w:val="false"/>
          <w:i w:val="false"/>
          <w:color w:val="000000"/>
          <w:sz w:val="28"/>
        </w:rPr>
        <w:t>
      Отчетный период: по состоянию на "____" ____________ 20 ___ года</w:t>
      </w:r>
    </w:p>
    <w:bookmarkEnd w:id="32"/>
    <w:bookmarkStart w:name="z40" w:id="33"/>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33"/>
    <w:bookmarkStart w:name="z41" w:id="34"/>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маржи платежеспособности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высоколиквидных активов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 w:id="35"/>
      <w:r>
        <w:rPr>
          <w:rFonts w:ascii="Times New Roman"/>
          <w:b w:val="false"/>
          <w:i w:val="false"/>
          <w:color w:val="000000"/>
          <w:sz w:val="28"/>
        </w:rPr>
        <w:t>
      Наименование ________________________________________________</w:t>
      </w:r>
    </w:p>
    <w:bookmarkEnd w:id="35"/>
    <w:p>
      <w:pPr>
        <w:spacing w:after="0"/>
        <w:ind w:left="0"/>
        <w:jc w:val="both"/>
      </w:pPr>
      <w:r>
        <w:rPr>
          <w:rFonts w:ascii="Times New Roman"/>
          <w:b w:val="false"/>
          <w:i w:val="false"/>
          <w:color w:val="000000"/>
          <w:sz w:val="28"/>
        </w:rPr>
        <w:t xml:space="preserve">       Адрес________________________________________________________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45" w:id="3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6"/>
    <w:bookmarkStart w:name="z46" w:id="37"/>
    <w:p>
      <w:pPr>
        <w:spacing w:after="0"/>
        <w:ind w:left="0"/>
        <w:jc w:val="both"/>
      </w:pPr>
      <w:r>
        <w:rPr>
          <w:rFonts w:ascii="Times New Roman"/>
          <w:b w:val="false"/>
          <w:i w:val="false"/>
          <w:color w:val="000000"/>
          <w:sz w:val="28"/>
        </w:rPr>
        <w:t>
      Отчет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(индекс – 1-PN_S, периодичность – ежемесячная)</w:t>
      </w:r>
    </w:p>
    <w:bookmarkEnd w:id="37"/>
    <w:bookmarkStart w:name="z47" w:id="38"/>
    <w:p>
      <w:pPr>
        <w:spacing w:after="0"/>
        <w:ind w:left="0"/>
        <w:jc w:val="left"/>
      </w:pPr>
      <w:r>
        <w:rPr>
          <w:rFonts w:ascii="Times New Roman"/>
          <w:b/>
          <w:i w:val="false"/>
          <w:color w:val="000000"/>
        </w:rPr>
        <w:t xml:space="preserve"> Глава 1. Общие положения</w:t>
      </w:r>
    </w:p>
    <w:bookmarkEnd w:id="38"/>
    <w:bookmarkStart w:name="z48" w:id="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Форма).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филиал) ежемесячно и заполняется по состоянию на конец отчетного периода.</w:t>
      </w:r>
    </w:p>
    <w:bookmarkEnd w:id="41"/>
    <w:bookmarkStart w:name="z51" w:id="42"/>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42"/>
    <w:bookmarkStart w:name="z52" w:id="43"/>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и исполнитель.</w:t>
      </w:r>
    </w:p>
    <w:bookmarkEnd w:id="43"/>
    <w:bookmarkStart w:name="z53" w:id="44"/>
    <w:p>
      <w:pPr>
        <w:spacing w:after="0"/>
        <w:ind w:left="0"/>
        <w:jc w:val="both"/>
      </w:pPr>
      <w:r>
        <w:rPr>
          <w:rFonts w:ascii="Times New Roman"/>
          <w:b w:val="false"/>
          <w:i w:val="false"/>
          <w:color w:val="000000"/>
          <w:sz w:val="28"/>
        </w:rPr>
        <w:t>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постановлением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44"/>
    <w:bookmarkStart w:name="z54" w:id="45"/>
    <w:p>
      <w:pPr>
        <w:spacing w:after="0"/>
        <w:ind w:left="0"/>
        <w:jc w:val="left"/>
      </w:pPr>
      <w:r>
        <w:rPr>
          <w:rFonts w:ascii="Times New Roman"/>
          <w:b/>
          <w:i w:val="false"/>
          <w:color w:val="000000"/>
        </w:rPr>
        <w:t xml:space="preserve"> Глава 2. Пояснение по заполнению Формы</w:t>
      </w:r>
    </w:p>
    <w:bookmarkEnd w:id="45"/>
    <w:bookmarkStart w:name="z55" w:id="46"/>
    <w:p>
      <w:pPr>
        <w:spacing w:after="0"/>
        <w:ind w:left="0"/>
        <w:jc w:val="both"/>
      </w:pPr>
      <w:r>
        <w:rPr>
          <w:rFonts w:ascii="Times New Roman"/>
          <w:b w:val="false"/>
          <w:i w:val="false"/>
          <w:color w:val="000000"/>
          <w:sz w:val="28"/>
        </w:rPr>
        <w:t>
      7. В строке 1 указывается значение норматива достаточности маржи платежеспособности, рассчитанное в соответствии с параграфом 1 главы 2 Методик.</w:t>
      </w:r>
    </w:p>
    <w:bookmarkEnd w:id="46"/>
    <w:bookmarkStart w:name="z56" w:id="47"/>
    <w:p>
      <w:pPr>
        <w:spacing w:after="0"/>
        <w:ind w:left="0"/>
        <w:jc w:val="both"/>
      </w:pPr>
      <w:r>
        <w:rPr>
          <w:rFonts w:ascii="Times New Roman"/>
          <w:b w:val="false"/>
          <w:i w:val="false"/>
          <w:color w:val="000000"/>
          <w:sz w:val="28"/>
        </w:rPr>
        <w:t>
      8. В строке 2 указывается значение фактической маржи платежеспособности, рассчитанное в соответствии с пунктом 21 Методик.</w:t>
      </w:r>
    </w:p>
    <w:bookmarkEnd w:id="47"/>
    <w:bookmarkStart w:name="z57" w:id="48"/>
    <w:p>
      <w:pPr>
        <w:spacing w:after="0"/>
        <w:ind w:left="0"/>
        <w:jc w:val="both"/>
      </w:pPr>
      <w:r>
        <w:rPr>
          <w:rFonts w:ascii="Times New Roman"/>
          <w:b w:val="false"/>
          <w:i w:val="false"/>
          <w:color w:val="000000"/>
          <w:sz w:val="28"/>
        </w:rPr>
        <w:t>
      9. В строке 3 указывается значение минимального размера маржи платежеспособности, рассчитанное в соответствии с пунктами 4, 8, 11, 12, 14 и 15 Методик.</w:t>
      </w:r>
    </w:p>
    <w:bookmarkEnd w:id="48"/>
    <w:bookmarkStart w:name="z58" w:id="49"/>
    <w:p>
      <w:pPr>
        <w:spacing w:after="0"/>
        <w:ind w:left="0"/>
        <w:jc w:val="both"/>
      </w:pPr>
      <w:r>
        <w:rPr>
          <w:rFonts w:ascii="Times New Roman"/>
          <w:b w:val="false"/>
          <w:i w:val="false"/>
          <w:color w:val="000000"/>
          <w:sz w:val="28"/>
        </w:rPr>
        <w:t>
      10. В строке 4 указывается информация о выполнении норматива достаточности маржи платежеспособности ("да" или "нет"). Норматив достаточности маржи платежеспособности филиала устанавливается в размере не менее 1 (единицы). При несоблюдении филиалом норматива достаточности высоколиквидных активов, значение норматива ставится "нет".</w:t>
      </w:r>
    </w:p>
    <w:bookmarkEnd w:id="49"/>
    <w:bookmarkStart w:name="z59" w:id="50"/>
    <w:p>
      <w:pPr>
        <w:spacing w:after="0"/>
        <w:ind w:left="0"/>
        <w:jc w:val="both"/>
      </w:pPr>
      <w:r>
        <w:rPr>
          <w:rFonts w:ascii="Times New Roman"/>
          <w:b w:val="false"/>
          <w:i w:val="false"/>
          <w:color w:val="000000"/>
          <w:sz w:val="28"/>
        </w:rPr>
        <w:t>
      11. В строке 5 указывается минимальный размер активов, принимаемых в качестве резерва, рассчитанные в соответствии с приложением 1 к постановлению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w:t>
      </w:r>
    </w:p>
    <w:bookmarkEnd w:id="50"/>
    <w:bookmarkStart w:name="z60" w:id="51"/>
    <w:p>
      <w:pPr>
        <w:spacing w:after="0"/>
        <w:ind w:left="0"/>
        <w:jc w:val="both"/>
      </w:pPr>
      <w:r>
        <w:rPr>
          <w:rFonts w:ascii="Times New Roman"/>
          <w:b w:val="false"/>
          <w:i w:val="false"/>
          <w:color w:val="000000"/>
          <w:sz w:val="28"/>
        </w:rPr>
        <w:t>
      12. В строке 6 указывается значение норматива достаточности высоколиквидных активов, рассчитанное в соответствии с параграфом 2 главы 2 Методик.</w:t>
      </w:r>
    </w:p>
    <w:bookmarkEnd w:id="51"/>
    <w:bookmarkStart w:name="z61" w:id="52"/>
    <w:p>
      <w:pPr>
        <w:spacing w:after="0"/>
        <w:ind w:left="0"/>
        <w:jc w:val="both"/>
      </w:pPr>
      <w:r>
        <w:rPr>
          <w:rFonts w:ascii="Times New Roman"/>
          <w:b w:val="false"/>
          <w:i w:val="false"/>
          <w:color w:val="000000"/>
          <w:sz w:val="28"/>
        </w:rPr>
        <w:t xml:space="preserve">
      13. В строке 7 указывается стоимость высоколиквидных активов (за вычетом обязательств по операциям РЕПО) филиала, рассчитанных в соответствии с Таблицей высоколиквидных активов согласно приложению 3 к Методикам. </w:t>
      </w:r>
    </w:p>
    <w:bookmarkEnd w:id="52"/>
    <w:bookmarkStart w:name="z62" w:id="53"/>
    <w:p>
      <w:pPr>
        <w:spacing w:after="0"/>
        <w:ind w:left="0"/>
        <w:jc w:val="both"/>
      </w:pPr>
      <w:r>
        <w:rPr>
          <w:rFonts w:ascii="Times New Roman"/>
          <w:b w:val="false"/>
          <w:i w:val="false"/>
          <w:color w:val="000000"/>
          <w:sz w:val="28"/>
        </w:rPr>
        <w:t>
      14. В строке 8 указывается обязательства филиала по операциям РЕПО.</w:t>
      </w:r>
    </w:p>
    <w:bookmarkEnd w:id="53"/>
    <w:bookmarkStart w:name="z63" w:id="54"/>
    <w:p>
      <w:pPr>
        <w:spacing w:after="0"/>
        <w:ind w:left="0"/>
        <w:jc w:val="both"/>
      </w:pPr>
      <w:r>
        <w:rPr>
          <w:rFonts w:ascii="Times New Roman"/>
          <w:b w:val="false"/>
          <w:i w:val="false"/>
          <w:color w:val="000000"/>
          <w:sz w:val="28"/>
        </w:rPr>
        <w:t>
      15. В строке 9 указывается сумма страховых резервов филиала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54"/>
    <w:bookmarkStart w:name="z64" w:id="55"/>
    <w:p>
      <w:pPr>
        <w:spacing w:after="0"/>
        <w:ind w:left="0"/>
        <w:jc w:val="both"/>
      </w:pPr>
      <w:r>
        <w:rPr>
          <w:rFonts w:ascii="Times New Roman"/>
          <w:b w:val="false"/>
          <w:i w:val="false"/>
          <w:color w:val="000000"/>
          <w:sz w:val="28"/>
        </w:rPr>
        <w:t>
      16. В строке 10 указывается информация о выполнении норматива достаточности высоколиквидных активов ("да" или "нет"). Норматив достаточности маржи платежеспособности филиала устанавливается в размере не менее 1 (единицы). При несоблюдении филиалом норматива достаточности высоколиквидных активов, значение норматива ставится "нет".</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66" w:id="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
    <w:bookmarkStart w:name="z67" w:id="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
    <w:bookmarkStart w:name="z68" w:id="5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8"/>
    <w:bookmarkStart w:name="z69" w:id="59"/>
    <w:p>
      <w:pPr>
        <w:spacing w:after="0"/>
        <w:ind w:left="0"/>
        <w:jc w:val="both"/>
      </w:pPr>
      <w:r>
        <w:rPr>
          <w:rFonts w:ascii="Times New Roman"/>
          <w:b w:val="false"/>
          <w:i w:val="false"/>
          <w:color w:val="000000"/>
          <w:sz w:val="28"/>
        </w:rPr>
        <w:t>
      Отчет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w:t>
      </w:r>
    </w:p>
    <w:bookmarkEnd w:id="59"/>
    <w:bookmarkStart w:name="z70" w:id="60"/>
    <w:p>
      <w:pPr>
        <w:spacing w:after="0"/>
        <w:ind w:left="0"/>
        <w:jc w:val="both"/>
      </w:pPr>
      <w:r>
        <w:rPr>
          <w:rFonts w:ascii="Times New Roman"/>
          <w:b w:val="false"/>
          <w:i w:val="false"/>
          <w:color w:val="000000"/>
          <w:sz w:val="28"/>
        </w:rPr>
        <w:t>
      Индекс формы административных данных: 1-PN_M</w:t>
      </w:r>
    </w:p>
    <w:bookmarkEnd w:id="60"/>
    <w:bookmarkStart w:name="z71" w:id="61"/>
    <w:p>
      <w:pPr>
        <w:spacing w:after="0"/>
        <w:ind w:left="0"/>
        <w:jc w:val="both"/>
      </w:pPr>
      <w:r>
        <w:rPr>
          <w:rFonts w:ascii="Times New Roman"/>
          <w:b w:val="false"/>
          <w:i w:val="false"/>
          <w:color w:val="000000"/>
          <w:sz w:val="28"/>
        </w:rPr>
        <w:t>
      Периодичность: ежемесячная</w:t>
      </w:r>
    </w:p>
    <w:bookmarkEnd w:id="61"/>
    <w:bookmarkStart w:name="z72" w:id="62"/>
    <w:p>
      <w:pPr>
        <w:spacing w:after="0"/>
        <w:ind w:left="0"/>
        <w:jc w:val="both"/>
      </w:pPr>
      <w:r>
        <w:rPr>
          <w:rFonts w:ascii="Times New Roman"/>
          <w:b w:val="false"/>
          <w:i w:val="false"/>
          <w:color w:val="000000"/>
          <w:sz w:val="28"/>
        </w:rPr>
        <w:t>
      Отчетный период: по состоянию на "____" ____________ 20 ___ года</w:t>
      </w:r>
    </w:p>
    <w:bookmarkEnd w:id="62"/>
    <w:bookmarkStart w:name="z73" w:id="63"/>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63"/>
    <w:bookmarkStart w:name="z74" w:id="64"/>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переданных (передаваемых)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перестраховщиками-нерезидентами Республики Казахстан, за исключением перестраховщиков государств - членов Евразийского экономического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 филиалами страховых (перестраховочных) организаций-нерезидентов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 государств - членов Евразийского экономического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 w:id="65"/>
      <w:r>
        <w:rPr>
          <w:rFonts w:ascii="Times New Roman"/>
          <w:b w:val="false"/>
          <w:i w:val="false"/>
          <w:color w:val="000000"/>
          <w:sz w:val="28"/>
        </w:rPr>
        <w:t>
      Наименование _________________________________________________</w:t>
      </w:r>
    </w:p>
    <w:bookmarkEnd w:id="65"/>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сумме </w:t>
            </w:r>
            <w:r>
              <w:br/>
            </w:r>
            <w:r>
              <w:rPr>
                <w:rFonts w:ascii="Times New Roman"/>
                <w:b w:val="false"/>
                <w:i w:val="false"/>
                <w:color w:val="000000"/>
                <w:sz w:val="20"/>
              </w:rPr>
              <w:t xml:space="preserve">увеличения минимального </w:t>
            </w:r>
            <w:r>
              <w:br/>
            </w:r>
            <w:r>
              <w:rPr>
                <w:rFonts w:ascii="Times New Roman"/>
                <w:b w:val="false"/>
                <w:i w:val="false"/>
                <w:color w:val="000000"/>
                <w:sz w:val="20"/>
              </w:rPr>
              <w:t xml:space="preserve">размера маржи </w:t>
            </w:r>
            <w:r>
              <w:br/>
            </w:r>
            <w:r>
              <w:rPr>
                <w:rFonts w:ascii="Times New Roman"/>
                <w:b w:val="false"/>
                <w:i w:val="false"/>
                <w:color w:val="000000"/>
                <w:sz w:val="20"/>
              </w:rPr>
              <w:t xml:space="preserve">платежеспособности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филиалов исламских страховых</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78" w:id="6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6"/>
    <w:bookmarkStart w:name="z79" w:id="67"/>
    <w:p>
      <w:pPr>
        <w:spacing w:after="0"/>
        <w:ind w:left="0"/>
        <w:jc w:val="both"/>
      </w:pPr>
      <w:r>
        <w:rPr>
          <w:rFonts w:ascii="Times New Roman"/>
          <w:b w:val="false"/>
          <w:i w:val="false"/>
          <w:color w:val="000000"/>
          <w:sz w:val="28"/>
        </w:rPr>
        <w:t>
      Отчет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(индекс – 1-PN_M, периодичность – ежемесячная)</w:t>
      </w:r>
    </w:p>
    <w:bookmarkEnd w:id="67"/>
    <w:bookmarkStart w:name="z80" w:id="68"/>
    <w:p>
      <w:pPr>
        <w:spacing w:after="0"/>
        <w:ind w:left="0"/>
        <w:jc w:val="left"/>
      </w:pPr>
      <w:r>
        <w:rPr>
          <w:rFonts w:ascii="Times New Roman"/>
          <w:b/>
          <w:i w:val="false"/>
          <w:color w:val="000000"/>
        </w:rPr>
        <w:t xml:space="preserve"> Глава 1. Общие положения</w:t>
      </w:r>
    </w:p>
    <w:bookmarkEnd w:id="68"/>
    <w:bookmarkStart w:name="z81" w:id="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сумме увеличения минимального размера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(далее – Форма).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филиал) ежемесячно и заполняется по состоянию на конец отчетного периода.</w:t>
      </w:r>
    </w:p>
    <w:bookmarkEnd w:id="71"/>
    <w:bookmarkStart w:name="z84" w:id="72"/>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72"/>
    <w:bookmarkStart w:name="z85" w:id="73"/>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и исполнитель.</w:t>
      </w:r>
    </w:p>
    <w:bookmarkEnd w:id="73"/>
    <w:bookmarkStart w:name="z86" w:id="74"/>
    <w:p>
      <w:pPr>
        <w:spacing w:after="0"/>
        <w:ind w:left="0"/>
        <w:jc w:val="both"/>
      </w:pPr>
      <w:r>
        <w:rPr>
          <w:rFonts w:ascii="Times New Roman"/>
          <w:b w:val="false"/>
          <w:i w:val="false"/>
          <w:color w:val="000000"/>
          <w:sz w:val="28"/>
        </w:rPr>
        <w:t>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постановлением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74"/>
    <w:bookmarkStart w:name="z87" w:id="75"/>
    <w:p>
      <w:pPr>
        <w:spacing w:after="0"/>
        <w:ind w:left="0"/>
        <w:jc w:val="left"/>
      </w:pPr>
      <w:r>
        <w:rPr>
          <w:rFonts w:ascii="Times New Roman"/>
          <w:b/>
          <w:i w:val="false"/>
          <w:color w:val="000000"/>
        </w:rPr>
        <w:t xml:space="preserve"> Глава 2. Пояснение по заполнению Формы</w:t>
      </w:r>
    </w:p>
    <w:bookmarkEnd w:id="75"/>
    <w:bookmarkStart w:name="z88" w:id="76"/>
    <w:p>
      <w:pPr>
        <w:spacing w:after="0"/>
        <w:ind w:left="0"/>
        <w:jc w:val="both"/>
      </w:pPr>
      <w:r>
        <w:rPr>
          <w:rFonts w:ascii="Times New Roman"/>
          <w:b w:val="false"/>
          <w:i w:val="false"/>
          <w:color w:val="000000"/>
          <w:sz w:val="28"/>
        </w:rPr>
        <w:t>
      7. Минимальный размер маржи платежеспособности филиала увеличивается на сумму обязательств, передаваемых (переданных) в перестрахование, страховым (перестраховочным) организациям-резидентам и нерезидентам Республики Казахстан, а также филиалам страховых (перестраховочных) организаций-нерезидентов Республики Казахстан по действующим договорам перестрахования, в соответствии с пунктом 6 Методик.</w:t>
      </w:r>
    </w:p>
    <w:bookmarkEnd w:id="76"/>
    <w:bookmarkStart w:name="z89" w:id="77"/>
    <w:p>
      <w:pPr>
        <w:spacing w:after="0"/>
        <w:ind w:left="0"/>
        <w:jc w:val="both"/>
      </w:pPr>
      <w:r>
        <w:rPr>
          <w:rFonts w:ascii="Times New Roman"/>
          <w:b w:val="false"/>
          <w:i w:val="false"/>
          <w:color w:val="000000"/>
          <w:sz w:val="28"/>
        </w:rPr>
        <w:t>
      8. Для целей заполнения Формы используются рейтинговые оценки агентств в соответствии с пунктом 7 Методик.</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194" w:id="78"/>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p>
    <w:bookmarkEnd w:id="78"/>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1-PN_O</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___ 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филиалы исламских страховых</w:t>
      </w:r>
    </w:p>
    <w:p>
      <w:pPr>
        <w:spacing w:after="0"/>
        <w:ind w:left="0"/>
        <w:jc w:val="both"/>
      </w:pPr>
      <w:r>
        <w:rPr>
          <w:rFonts w:ascii="Times New Roman"/>
          <w:b w:val="false"/>
          <w:i w:val="false"/>
          <w:color w:val="000000"/>
          <w:sz w:val="28"/>
        </w:rPr>
        <w:t>(перестраховочных)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осуществляющие страховую деятельность по отрасли "общее страхование",</w:t>
      </w:r>
    </w:p>
    <w:p>
      <w:pPr>
        <w:spacing w:after="0"/>
        <w:ind w:left="0"/>
        <w:jc w:val="both"/>
      </w:pPr>
      <w:r>
        <w:rPr>
          <w:rFonts w:ascii="Times New Roman"/>
          <w:b w:val="false"/>
          <w:i w:val="false"/>
          <w:color w:val="000000"/>
          <w:sz w:val="28"/>
        </w:rPr>
        <w:t>филиалы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осуществляющие перестрахование как исключительный вид деятельности</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79"/>
    <w:p>
      <w:pPr>
        <w:spacing w:after="0"/>
        <w:ind w:left="0"/>
        <w:jc w:val="left"/>
      </w:pPr>
      <w:r>
        <w:rPr>
          <w:rFonts w:ascii="Times New Roman"/>
          <w:b/>
          <w:i w:val="false"/>
          <w:color w:val="000000"/>
        </w:rPr>
        <w:t xml:space="preserve"> Таблица. Минимальный размер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 использованием "метода премий"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 использованием "метода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для страховых (перестраховочных) организаций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минимальном</w:t>
            </w:r>
            <w:r>
              <w:br/>
            </w:r>
            <w:r>
              <w:rPr>
                <w:rFonts w:ascii="Times New Roman"/>
                <w:b w:val="false"/>
                <w:i w:val="false"/>
                <w:color w:val="000000"/>
                <w:sz w:val="20"/>
              </w:rPr>
              <w:t>размере маржи</w:t>
            </w:r>
            <w:r>
              <w:br/>
            </w:r>
            <w:r>
              <w:rPr>
                <w:rFonts w:ascii="Times New Roman"/>
                <w:b w:val="false"/>
                <w:i w:val="false"/>
                <w:color w:val="000000"/>
                <w:sz w:val="20"/>
              </w:rPr>
              <w:t>платежеспособности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филиалов исламских страховых</w:t>
            </w:r>
            <w:r>
              <w:br/>
            </w:r>
            <w:r>
              <w:rPr>
                <w:rFonts w:ascii="Times New Roman"/>
                <w:b w:val="false"/>
                <w:i w:val="false"/>
                <w:color w:val="000000"/>
                <w:sz w:val="20"/>
              </w:rPr>
              <w:t>(перестраховочных) 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осуществляющих страховую</w:t>
            </w:r>
            <w:r>
              <w:br/>
            </w:r>
            <w:r>
              <w:rPr>
                <w:rFonts w:ascii="Times New Roman"/>
                <w:b w:val="false"/>
                <w:i w:val="false"/>
                <w:color w:val="000000"/>
                <w:sz w:val="20"/>
              </w:rPr>
              <w:t>деятельность по отрасли</w:t>
            </w:r>
            <w:r>
              <w:br/>
            </w:r>
            <w:r>
              <w:rPr>
                <w:rFonts w:ascii="Times New Roman"/>
                <w:b w:val="false"/>
                <w:i w:val="false"/>
                <w:color w:val="000000"/>
                <w:sz w:val="20"/>
              </w:rPr>
              <w:t>"общее страхование"</w:t>
            </w:r>
            <w:r>
              <w:br/>
            </w:r>
            <w:r>
              <w:rPr>
                <w:rFonts w:ascii="Times New Roman"/>
                <w:b w:val="false"/>
                <w:i w:val="false"/>
                <w:color w:val="000000"/>
                <w:sz w:val="20"/>
              </w:rPr>
              <w:t>и филиалов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осуществляющих перестрахование</w:t>
            </w:r>
            <w:r>
              <w:br/>
            </w:r>
            <w:r>
              <w:rPr>
                <w:rFonts w:ascii="Times New Roman"/>
                <w:b w:val="false"/>
                <w:i w:val="false"/>
                <w:color w:val="000000"/>
                <w:sz w:val="20"/>
              </w:rPr>
              <w:t>как исключительный вид деятельности</w:t>
            </w:r>
          </w:p>
        </w:tc>
      </w:tr>
    </w:tbl>
    <w:bookmarkStart w:name="z198" w:id="8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0"/>
    <w:bookmarkStart w:name="z199" w:id="81"/>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w:t>
      </w:r>
      <w:r>
        <w:br/>
      </w:r>
      <w:r>
        <w:rPr>
          <w:rFonts w:ascii="Times New Roman"/>
          <w:b/>
          <w:i w:val="false"/>
          <w:color w:val="000000"/>
        </w:rPr>
        <w:t>(индекс – 1-PN_O, периодичность – ежемесячная)</w:t>
      </w:r>
    </w:p>
    <w:bookmarkEnd w:id="81"/>
    <w:bookmarkStart w:name="z200" w:id="82"/>
    <w:p>
      <w:pPr>
        <w:spacing w:after="0"/>
        <w:ind w:left="0"/>
        <w:jc w:val="left"/>
      </w:pPr>
      <w:r>
        <w:rPr>
          <w:rFonts w:ascii="Times New Roman"/>
          <w:b/>
          <w:i w:val="false"/>
          <w:color w:val="000000"/>
        </w:rPr>
        <w:t xml:space="preserve"> Глава 1. Общие положения</w:t>
      </w:r>
    </w:p>
    <w:bookmarkEnd w:id="82"/>
    <w:bookmarkStart w:name="z201" w:id="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"общее страхование" и филиалов перестраховочных организаций-нерезидентов Республики Казахстан, осуществляющих перестрахование как исключительный вид деятельности" (далее – Форма).</w:t>
      </w:r>
    </w:p>
    <w:bookmarkEnd w:id="83"/>
    <w:bookmarkStart w:name="z202" w:id="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4"/>
    <w:bookmarkStart w:name="z203" w:id="85"/>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страховую деятельность по отрасли "общее страхование", филиалами перестраховочных организаций-нерезидентов Республики Казахстан, осуществляющими перестрахование как исключительный вид деятельности (далее – филиал) ежемесячно и заполняется по состоянию на конец отчетного периода.</w:t>
      </w:r>
    </w:p>
    <w:bookmarkEnd w:id="85"/>
    <w:bookmarkStart w:name="z204" w:id="86"/>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86"/>
    <w:bookmarkStart w:name="z205" w:id="87"/>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87"/>
    <w:bookmarkStart w:name="z206" w:id="88"/>
    <w:p>
      <w:pPr>
        <w:spacing w:after="0"/>
        <w:ind w:left="0"/>
        <w:jc w:val="both"/>
      </w:pPr>
      <w:r>
        <w:rPr>
          <w:rFonts w:ascii="Times New Roman"/>
          <w:b w:val="false"/>
          <w:i w:val="false"/>
          <w:color w:val="000000"/>
          <w:sz w:val="28"/>
        </w:rPr>
        <w:t xml:space="preserve">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88"/>
    <w:bookmarkStart w:name="z207" w:id="89"/>
    <w:p>
      <w:pPr>
        <w:spacing w:after="0"/>
        <w:ind w:left="0"/>
        <w:jc w:val="left"/>
      </w:pPr>
      <w:r>
        <w:rPr>
          <w:rFonts w:ascii="Times New Roman"/>
          <w:b/>
          <w:i w:val="false"/>
          <w:color w:val="000000"/>
        </w:rPr>
        <w:t xml:space="preserve"> Глава 2. Пояснение по заполнению Формы</w:t>
      </w:r>
    </w:p>
    <w:bookmarkEnd w:id="89"/>
    <w:bookmarkStart w:name="z208" w:id="90"/>
    <w:p>
      <w:pPr>
        <w:spacing w:after="0"/>
        <w:ind w:left="0"/>
        <w:jc w:val="both"/>
      </w:pPr>
      <w:r>
        <w:rPr>
          <w:rFonts w:ascii="Times New Roman"/>
          <w:b w:val="false"/>
          <w:i w:val="false"/>
          <w:color w:val="000000"/>
          <w:sz w:val="28"/>
        </w:rPr>
        <w:t>
      7. В строке 1 указывается значение минимального размера маржи платежеспособности с использованием "метода премий", рассчитанное в соответствии с пунктом 9 Методик.</w:t>
      </w:r>
    </w:p>
    <w:bookmarkEnd w:id="90"/>
    <w:bookmarkStart w:name="z209" w:id="91"/>
    <w:p>
      <w:pPr>
        <w:spacing w:after="0"/>
        <w:ind w:left="0"/>
        <w:jc w:val="both"/>
      </w:pPr>
      <w:r>
        <w:rPr>
          <w:rFonts w:ascii="Times New Roman"/>
          <w:b w:val="false"/>
          <w:i w:val="false"/>
          <w:color w:val="000000"/>
          <w:sz w:val="28"/>
        </w:rPr>
        <w:t>
      8. В строке 2 указывается значение минимального размера маржи платежеспособности с использованием "метода выплат", рассчитанное в соответствии с пунктом 10 Методик.</w:t>
      </w:r>
    </w:p>
    <w:bookmarkEnd w:id="91"/>
    <w:bookmarkStart w:name="z210" w:id="92"/>
    <w:p>
      <w:pPr>
        <w:spacing w:after="0"/>
        <w:ind w:left="0"/>
        <w:jc w:val="both"/>
      </w:pPr>
      <w:r>
        <w:rPr>
          <w:rFonts w:ascii="Times New Roman"/>
          <w:b w:val="false"/>
          <w:i w:val="false"/>
          <w:color w:val="000000"/>
          <w:sz w:val="28"/>
        </w:rPr>
        <w:t>
      9. В строке 3 указывается значение фактической маржи платежеспособности филиала, осуществляющего страховую деятельность по отрасли "общее страхование", за отчетный период.</w:t>
      </w:r>
    </w:p>
    <w:bookmarkEnd w:id="92"/>
    <w:bookmarkStart w:name="z211" w:id="93"/>
    <w:p>
      <w:pPr>
        <w:spacing w:after="0"/>
        <w:ind w:left="0"/>
        <w:jc w:val="both"/>
      </w:pPr>
      <w:r>
        <w:rPr>
          <w:rFonts w:ascii="Times New Roman"/>
          <w:b w:val="false"/>
          <w:i w:val="false"/>
          <w:color w:val="000000"/>
          <w:sz w:val="28"/>
        </w:rPr>
        <w:t>
      10. В строке 4 указывается минимальный размер маржи платежеспособности за отчетный период.</w:t>
      </w:r>
    </w:p>
    <w:bookmarkEnd w:id="93"/>
    <w:bookmarkStart w:name="z212" w:id="94"/>
    <w:p>
      <w:pPr>
        <w:spacing w:after="0"/>
        <w:ind w:left="0"/>
        <w:jc w:val="both"/>
      </w:pPr>
      <w:r>
        <w:rPr>
          <w:rFonts w:ascii="Times New Roman"/>
          <w:b w:val="false"/>
          <w:i w:val="false"/>
          <w:color w:val="000000"/>
          <w:sz w:val="28"/>
        </w:rPr>
        <w:t>
      Минимальный размер маржи платежеспособности филиала увеличивается на суммы, указанные в пункте 11 Методик.</w:t>
      </w:r>
    </w:p>
    <w:bookmarkEnd w:id="94"/>
    <w:bookmarkStart w:name="z213" w:id="95"/>
    <w:p>
      <w:pPr>
        <w:spacing w:after="0"/>
        <w:ind w:left="0"/>
        <w:jc w:val="both"/>
      </w:pPr>
      <w:r>
        <w:rPr>
          <w:rFonts w:ascii="Times New Roman"/>
          <w:b w:val="false"/>
          <w:i w:val="false"/>
          <w:color w:val="000000"/>
          <w:sz w:val="28"/>
        </w:rPr>
        <w:t>
      Минимальный размер маржи платежеспособности филиала уменьшается на значение, указанное в пункте 14 Методик.</w:t>
      </w:r>
    </w:p>
    <w:bookmarkEnd w:id="95"/>
    <w:bookmarkStart w:name="z214" w:id="96"/>
    <w:p>
      <w:pPr>
        <w:spacing w:after="0"/>
        <w:ind w:left="0"/>
        <w:jc w:val="both"/>
      </w:pPr>
      <w:r>
        <w:rPr>
          <w:rFonts w:ascii="Times New Roman"/>
          <w:b w:val="false"/>
          <w:i w:val="false"/>
          <w:color w:val="000000"/>
          <w:sz w:val="28"/>
        </w:rPr>
        <w:t>
      11. В строке 5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215" w:id="97"/>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p>
    <w:bookmarkEnd w:id="97"/>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1-PN_Z</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___ 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филиалы исламских страховых</w:t>
      </w:r>
    </w:p>
    <w:p>
      <w:pPr>
        <w:spacing w:after="0"/>
        <w:ind w:left="0"/>
        <w:jc w:val="both"/>
      </w:pPr>
      <w:r>
        <w:rPr>
          <w:rFonts w:ascii="Times New Roman"/>
          <w:b w:val="false"/>
          <w:i w:val="false"/>
          <w:color w:val="000000"/>
          <w:sz w:val="28"/>
        </w:rPr>
        <w:t>(перестраховочных)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осуществляющие страховую деятельность по отрасли "страхование жизни"</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98"/>
    <w:p>
      <w:pPr>
        <w:spacing w:after="0"/>
        <w:ind w:left="0"/>
        <w:jc w:val="left"/>
      </w:pPr>
      <w:r>
        <w:rPr>
          <w:rFonts w:ascii="Times New Roman"/>
          <w:b/>
          <w:i w:val="false"/>
          <w:color w:val="000000"/>
        </w:rPr>
        <w:t xml:space="preserve"> Таблица. Минимальный размер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для классов "страхование жизни" и "аннуитетное страхование",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 жизни на случай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договорам страхования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для страховых (перестраховочных) организаций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минимальном</w:t>
            </w:r>
            <w:r>
              <w:br/>
            </w:r>
            <w:r>
              <w:rPr>
                <w:rFonts w:ascii="Times New Roman"/>
                <w:b w:val="false"/>
                <w:i w:val="false"/>
                <w:color w:val="000000"/>
                <w:sz w:val="20"/>
              </w:rPr>
              <w:t>размере маржи</w:t>
            </w:r>
            <w:r>
              <w:br/>
            </w:r>
            <w:r>
              <w:rPr>
                <w:rFonts w:ascii="Times New Roman"/>
                <w:b w:val="false"/>
                <w:i w:val="false"/>
                <w:color w:val="000000"/>
                <w:sz w:val="20"/>
              </w:rPr>
              <w:t>платежеспособности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филиалов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осуществляющих страховую</w:t>
            </w:r>
            <w:r>
              <w:br/>
            </w:r>
            <w:r>
              <w:rPr>
                <w:rFonts w:ascii="Times New Roman"/>
                <w:b w:val="false"/>
                <w:i w:val="false"/>
                <w:color w:val="000000"/>
                <w:sz w:val="20"/>
              </w:rPr>
              <w:t>деятельность</w:t>
            </w:r>
            <w:r>
              <w:br/>
            </w:r>
            <w:r>
              <w:rPr>
                <w:rFonts w:ascii="Times New Roman"/>
                <w:b w:val="false"/>
                <w:i w:val="false"/>
                <w:color w:val="000000"/>
                <w:sz w:val="20"/>
              </w:rPr>
              <w:t>по отрасли "страхование жизни"</w:t>
            </w:r>
          </w:p>
        </w:tc>
      </w:tr>
    </w:tbl>
    <w:bookmarkStart w:name="z219" w:id="9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99"/>
    <w:bookmarkStart w:name="z220" w:id="100"/>
    <w:p>
      <w:pPr>
        <w:spacing w:after="0"/>
        <w:ind w:left="0"/>
        <w:jc w:val="left"/>
      </w:pPr>
      <w:r>
        <w:rPr>
          <w:rFonts w:ascii="Times New Roman"/>
          <w:b/>
          <w:i w:val="false"/>
          <w:color w:val="000000"/>
        </w:rPr>
        <w:t xml:space="preserve">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w:t>
      </w:r>
      <w:r>
        <w:br/>
      </w:r>
      <w:r>
        <w:rPr>
          <w:rFonts w:ascii="Times New Roman"/>
          <w:b/>
          <w:i w:val="false"/>
          <w:color w:val="000000"/>
        </w:rPr>
        <w:t>(индекс – 1-PN_Z, периодичность – ежемесячная)</w:t>
      </w:r>
    </w:p>
    <w:bookmarkEnd w:id="100"/>
    <w:bookmarkStart w:name="z221" w:id="101"/>
    <w:p>
      <w:pPr>
        <w:spacing w:after="0"/>
        <w:ind w:left="0"/>
        <w:jc w:val="left"/>
      </w:pPr>
      <w:r>
        <w:rPr>
          <w:rFonts w:ascii="Times New Roman"/>
          <w:b/>
          <w:i w:val="false"/>
          <w:color w:val="000000"/>
        </w:rPr>
        <w:t xml:space="preserve"> Глава 1. Общие положения</w:t>
      </w:r>
    </w:p>
    <w:bookmarkEnd w:id="101"/>
    <w:bookmarkStart w:name="z222" w:id="1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минимальном размере маржи платежеспособности филиалов страховых (перестраховочных) организаций-нерезидентов Республики Казахстан и филиалов исламских страховых (перестраховочных) организаций-нерезидентов Республики Казахстан, осуществляющих страховую деятельность по отрасли "страхование жизни" (далее – Форма).</w:t>
      </w:r>
    </w:p>
    <w:bookmarkEnd w:id="102"/>
    <w:bookmarkStart w:name="z223" w:id="1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3"/>
    <w:bookmarkStart w:name="z224" w:id="104"/>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страховую деятельность по отрасли "страхование жизни" (далее – филиал) ежемесячно и заполняется по состоянию на конец отчетного периода.</w:t>
      </w:r>
    </w:p>
    <w:bookmarkEnd w:id="104"/>
    <w:bookmarkStart w:name="z225" w:id="105"/>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105"/>
    <w:bookmarkStart w:name="z226" w:id="106"/>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06"/>
    <w:bookmarkStart w:name="z227" w:id="107"/>
    <w:p>
      <w:pPr>
        <w:spacing w:after="0"/>
        <w:ind w:left="0"/>
        <w:jc w:val="both"/>
      </w:pPr>
      <w:r>
        <w:rPr>
          <w:rFonts w:ascii="Times New Roman"/>
          <w:b w:val="false"/>
          <w:i w:val="false"/>
          <w:color w:val="000000"/>
          <w:sz w:val="28"/>
        </w:rPr>
        <w:t xml:space="preserve">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107"/>
    <w:bookmarkStart w:name="z228" w:id="108"/>
    <w:p>
      <w:pPr>
        <w:spacing w:after="0"/>
        <w:ind w:left="0"/>
        <w:jc w:val="left"/>
      </w:pPr>
      <w:r>
        <w:rPr>
          <w:rFonts w:ascii="Times New Roman"/>
          <w:b/>
          <w:i w:val="false"/>
          <w:color w:val="000000"/>
        </w:rPr>
        <w:t xml:space="preserve"> Глава 2. Пояснение по заполнению Формы</w:t>
      </w:r>
    </w:p>
    <w:bookmarkEnd w:id="108"/>
    <w:bookmarkStart w:name="z229" w:id="109"/>
    <w:p>
      <w:pPr>
        <w:spacing w:after="0"/>
        <w:ind w:left="0"/>
        <w:jc w:val="both"/>
      </w:pPr>
      <w:r>
        <w:rPr>
          <w:rFonts w:ascii="Times New Roman"/>
          <w:b w:val="false"/>
          <w:i w:val="false"/>
          <w:color w:val="000000"/>
          <w:sz w:val="28"/>
        </w:rPr>
        <w:t>
      7. В строке 1 указывается значение минимального размера маржи платежеспособности для классов "страхование жизни" и "аннуитетное страхование", рассчитанное в соответствии с пунктом 16 Методик.</w:t>
      </w:r>
    </w:p>
    <w:bookmarkEnd w:id="109"/>
    <w:bookmarkStart w:name="z230" w:id="110"/>
    <w:p>
      <w:pPr>
        <w:spacing w:after="0"/>
        <w:ind w:left="0"/>
        <w:jc w:val="both"/>
      </w:pPr>
      <w:r>
        <w:rPr>
          <w:rFonts w:ascii="Times New Roman"/>
          <w:b w:val="false"/>
          <w:i w:val="false"/>
          <w:color w:val="000000"/>
          <w:sz w:val="28"/>
        </w:rPr>
        <w:t>
      8. В строке 2 указывается значение минимального размера маржи платежеспособности по договорам страхования жизни на случай смерти, рассчитанное в соответствии с пунктом 17 Методик.</w:t>
      </w:r>
    </w:p>
    <w:bookmarkEnd w:id="110"/>
    <w:bookmarkStart w:name="z231" w:id="111"/>
    <w:p>
      <w:pPr>
        <w:spacing w:after="0"/>
        <w:ind w:left="0"/>
        <w:jc w:val="both"/>
      </w:pPr>
      <w:r>
        <w:rPr>
          <w:rFonts w:ascii="Times New Roman"/>
          <w:b w:val="false"/>
          <w:i w:val="false"/>
          <w:color w:val="000000"/>
          <w:sz w:val="28"/>
        </w:rPr>
        <w:t>
      9. В строке 3 указывается значение минимального размера маржи платежеспособности по прочим договорам страхования жизни, рассчитанное в соответствии с пунктом 19 Методик.</w:t>
      </w:r>
    </w:p>
    <w:bookmarkEnd w:id="111"/>
    <w:bookmarkStart w:name="z232" w:id="112"/>
    <w:p>
      <w:pPr>
        <w:spacing w:after="0"/>
        <w:ind w:left="0"/>
        <w:jc w:val="both"/>
      </w:pPr>
      <w:r>
        <w:rPr>
          <w:rFonts w:ascii="Times New Roman"/>
          <w:b w:val="false"/>
          <w:i w:val="false"/>
          <w:color w:val="000000"/>
          <w:sz w:val="28"/>
        </w:rPr>
        <w:t>
      10. В строке 4 указывается минимальный размер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рассчитанный в соответствии с пунктом 20 Методик.</w:t>
      </w:r>
    </w:p>
    <w:bookmarkEnd w:id="112"/>
    <w:bookmarkStart w:name="z233" w:id="113"/>
    <w:p>
      <w:pPr>
        <w:spacing w:after="0"/>
        <w:ind w:left="0"/>
        <w:jc w:val="both"/>
      </w:pPr>
      <w:r>
        <w:rPr>
          <w:rFonts w:ascii="Times New Roman"/>
          <w:b w:val="false"/>
          <w:i w:val="false"/>
          <w:color w:val="000000"/>
          <w:sz w:val="28"/>
        </w:rPr>
        <w:t>
      11. В строке 5 указывается значение фактической маржи платежеспособности филиала, осуществляющего страховую деятельность по отрасли "страхование жизни", за отчетный период.</w:t>
      </w:r>
    </w:p>
    <w:bookmarkEnd w:id="113"/>
    <w:bookmarkStart w:name="z234" w:id="114"/>
    <w:p>
      <w:pPr>
        <w:spacing w:after="0"/>
        <w:ind w:left="0"/>
        <w:jc w:val="both"/>
      </w:pPr>
      <w:r>
        <w:rPr>
          <w:rFonts w:ascii="Times New Roman"/>
          <w:b w:val="false"/>
          <w:i w:val="false"/>
          <w:color w:val="000000"/>
          <w:sz w:val="28"/>
        </w:rPr>
        <w:t>
      12. В строке 6 указывается минимальный размер маржи платежеспособности за отчетный период.</w:t>
      </w:r>
    </w:p>
    <w:bookmarkEnd w:id="114"/>
    <w:bookmarkStart w:name="z235" w:id="115"/>
    <w:p>
      <w:pPr>
        <w:spacing w:after="0"/>
        <w:ind w:left="0"/>
        <w:jc w:val="both"/>
      </w:pPr>
      <w:r>
        <w:rPr>
          <w:rFonts w:ascii="Times New Roman"/>
          <w:b w:val="false"/>
          <w:i w:val="false"/>
          <w:color w:val="000000"/>
          <w:sz w:val="28"/>
        </w:rPr>
        <w:t>
      13. В строке 7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bl>
    <w:bookmarkStart w:name="z152" w:id="1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6"/>
    <w:bookmarkStart w:name="z153" w:id="1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
    <w:bookmarkStart w:name="z154" w:id="11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8"/>
    <w:bookmarkStart w:name="z155" w:id="119"/>
    <w:p>
      <w:pPr>
        <w:spacing w:after="0"/>
        <w:ind w:left="0"/>
        <w:jc w:val="both"/>
      </w:pPr>
      <w:r>
        <w:rPr>
          <w:rFonts w:ascii="Times New Roman"/>
          <w:b w:val="false"/>
          <w:i w:val="false"/>
          <w:color w:val="000000"/>
          <w:sz w:val="28"/>
        </w:rPr>
        <w:t>
      Отчет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w:t>
      </w:r>
    </w:p>
    <w:bookmarkEnd w:id="119"/>
    <w:bookmarkStart w:name="z156" w:id="120"/>
    <w:p>
      <w:pPr>
        <w:spacing w:after="0"/>
        <w:ind w:left="0"/>
        <w:jc w:val="both"/>
      </w:pPr>
      <w:r>
        <w:rPr>
          <w:rFonts w:ascii="Times New Roman"/>
          <w:b w:val="false"/>
          <w:i w:val="false"/>
          <w:color w:val="000000"/>
          <w:sz w:val="28"/>
        </w:rPr>
        <w:t>
      Индекс формы административных данных: 1-PN_V</w:t>
      </w:r>
    </w:p>
    <w:bookmarkEnd w:id="120"/>
    <w:bookmarkStart w:name="z157" w:id="121"/>
    <w:p>
      <w:pPr>
        <w:spacing w:after="0"/>
        <w:ind w:left="0"/>
        <w:jc w:val="both"/>
      </w:pPr>
      <w:r>
        <w:rPr>
          <w:rFonts w:ascii="Times New Roman"/>
          <w:b w:val="false"/>
          <w:i w:val="false"/>
          <w:color w:val="000000"/>
          <w:sz w:val="28"/>
        </w:rPr>
        <w:t>
      Периодичность: ежемесячная</w:t>
      </w:r>
    </w:p>
    <w:bookmarkEnd w:id="121"/>
    <w:bookmarkStart w:name="z158" w:id="122"/>
    <w:p>
      <w:pPr>
        <w:spacing w:after="0"/>
        <w:ind w:left="0"/>
        <w:jc w:val="both"/>
      </w:pPr>
      <w:r>
        <w:rPr>
          <w:rFonts w:ascii="Times New Roman"/>
          <w:b w:val="false"/>
          <w:i w:val="false"/>
          <w:color w:val="000000"/>
          <w:sz w:val="28"/>
        </w:rPr>
        <w:t>
      Отчетный период: по состоянию на "____" ____________ 20 ___ года</w:t>
      </w:r>
    </w:p>
    <w:bookmarkEnd w:id="122"/>
    <w:bookmarkStart w:name="z159" w:id="123"/>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3"/>
    <w:bookmarkStart w:name="z160" w:id="124"/>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филиала страховой (перестраховочной) организации-нерезидента Республики Казахстан за минусом активов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филиала страховой (перестраховочной) организации-нерезидента-Республики Казахстан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филиалах банков-нерезидентов Республики Казахстан и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5"/>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соответствующих одному из следующих требований:</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филиалах банков-нерезидентов Республики Казахстан, в случае когда банки-нерезиденты Республики Казахстан имеют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филиала страховой (перестраховочной) организации-нерезидента Республики Казахстан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 размещенных на текущем счете в банке второго уровня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перечень которых определен постановлением Правления Национального Банка Республика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нормативных правовых актов Республики Казахстан под №14797 (далее – международные финансовые организации), имеющих долгосрочный кредитный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филиалах банков-нерезидентов Республики Казахстан, в случае когда банки-нерезиденты Республики Казахстан имеют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Стандард энд Пурс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перечень которых определен постановлением Правления Национального Банка Республика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нормативных правовых актов Республики Казахстан под №14797 (далее – основные фондовые индексы),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5.4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(ETF), Эксчейндж Трэйдэд Коммодитис Exchange Traded Commodities (ETC), Эксчейндж Трэйдэд Ноутс Exchange Traded Notes (ETN),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"kzAAA"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Стандард энд Пурс (Standard &amp; Poor's) или рейтинг аналогичного уровня одного из других рейтинговых агентств, или рейтинг от "kzAA+" до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Стандард энд Пурс (Standard &amp; Poor's) или рейтинговой оценкой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27"/>
      <w:r>
        <w:rPr>
          <w:rFonts w:ascii="Times New Roman"/>
          <w:b w:val="false"/>
          <w:i w:val="false"/>
          <w:color w:val="000000"/>
          <w:sz w:val="28"/>
        </w:rPr>
        <w:t>
      Наименование _________________________________________________</w:t>
      </w:r>
    </w:p>
    <w:bookmarkEnd w:id="127"/>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высоколиквидных активах</w:t>
            </w:r>
            <w:r>
              <w:br/>
            </w:r>
            <w:r>
              <w:rPr>
                <w:rFonts w:ascii="Times New Roman"/>
                <w:b w:val="false"/>
                <w:i w:val="false"/>
                <w:color w:val="000000"/>
                <w:sz w:val="20"/>
              </w:rPr>
              <w:t>филиалов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 и</w:t>
            </w:r>
            <w:r>
              <w:br/>
            </w:r>
            <w:r>
              <w:rPr>
                <w:rFonts w:ascii="Times New Roman"/>
                <w:b w:val="false"/>
                <w:i w:val="false"/>
                <w:color w:val="000000"/>
                <w:sz w:val="20"/>
              </w:rPr>
              <w:t>филиалов исламских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69" w:id="12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28"/>
    <w:bookmarkStart w:name="z170" w:id="129"/>
    <w:p>
      <w:pPr>
        <w:spacing w:after="0"/>
        <w:ind w:left="0"/>
        <w:jc w:val="both"/>
      </w:pPr>
      <w:r>
        <w:rPr>
          <w:rFonts w:ascii="Times New Roman"/>
          <w:b w:val="false"/>
          <w:i w:val="false"/>
          <w:color w:val="000000"/>
          <w:sz w:val="28"/>
        </w:rPr>
        <w:t>
      Отчет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 (индекс – 1-PN_V, периодичность – ежемесячная)</w:t>
      </w:r>
    </w:p>
    <w:bookmarkEnd w:id="129"/>
    <w:bookmarkStart w:name="z171" w:id="130"/>
    <w:p>
      <w:pPr>
        <w:spacing w:after="0"/>
        <w:ind w:left="0"/>
        <w:jc w:val="left"/>
      </w:pPr>
      <w:r>
        <w:rPr>
          <w:rFonts w:ascii="Times New Roman"/>
          <w:b/>
          <w:i w:val="false"/>
          <w:color w:val="000000"/>
        </w:rPr>
        <w:t xml:space="preserve"> Глава 1. Общие положения</w:t>
      </w:r>
    </w:p>
    <w:bookmarkEnd w:id="130"/>
    <w:bookmarkStart w:name="z172" w:id="1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высоколиквидных активах филиалов страховой (перестраховочной) организации-нерезидента Республики Казахстан и филиалов исламских страховых (перестраховочных) организаций-нерезидентов Республики Казахстан" (далее – Форма).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3"/>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филиал) ежемесячно и заполняется по состоянию на конец отчетного периода.</w:t>
      </w:r>
    </w:p>
    <w:bookmarkEnd w:id="133"/>
    <w:bookmarkStart w:name="z175" w:id="134"/>
    <w:p>
      <w:pPr>
        <w:spacing w:after="0"/>
        <w:ind w:left="0"/>
        <w:jc w:val="both"/>
      </w:pPr>
      <w:r>
        <w:rPr>
          <w:rFonts w:ascii="Times New Roman"/>
          <w:b w:val="false"/>
          <w:i w:val="false"/>
          <w:color w:val="000000"/>
          <w:sz w:val="28"/>
        </w:rPr>
        <w:t>
      4. Единица измерения, используемая при заполнении стоимостных показателей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 Показатели в процентах указываются до второго знака после запятой.</w:t>
      </w:r>
    </w:p>
    <w:bookmarkEnd w:id="134"/>
    <w:bookmarkStart w:name="z176" w:id="135"/>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и исполнитель.</w:t>
      </w:r>
    </w:p>
    <w:bookmarkEnd w:id="135"/>
    <w:bookmarkStart w:name="z177" w:id="136"/>
    <w:p>
      <w:pPr>
        <w:spacing w:after="0"/>
        <w:ind w:left="0"/>
        <w:jc w:val="both"/>
      </w:pPr>
      <w:r>
        <w:rPr>
          <w:rFonts w:ascii="Times New Roman"/>
          <w:b w:val="false"/>
          <w:i w:val="false"/>
          <w:color w:val="000000"/>
          <w:sz w:val="28"/>
        </w:rPr>
        <w:t>
      6.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определяются в соответствии с постановлением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Методики).</w:t>
      </w:r>
    </w:p>
    <w:bookmarkEnd w:id="136"/>
    <w:bookmarkStart w:name="z178" w:id="137"/>
    <w:p>
      <w:pPr>
        <w:spacing w:after="0"/>
        <w:ind w:left="0"/>
        <w:jc w:val="left"/>
      </w:pPr>
      <w:r>
        <w:rPr>
          <w:rFonts w:ascii="Times New Roman"/>
          <w:b/>
          <w:i w:val="false"/>
          <w:color w:val="000000"/>
        </w:rPr>
        <w:t xml:space="preserve"> Глава 2. Пояснение по заполнению Формы</w:t>
      </w:r>
    </w:p>
    <w:bookmarkEnd w:id="137"/>
    <w:bookmarkStart w:name="z179" w:id="138"/>
    <w:p>
      <w:pPr>
        <w:spacing w:after="0"/>
        <w:ind w:left="0"/>
        <w:jc w:val="both"/>
      </w:pPr>
      <w:r>
        <w:rPr>
          <w:rFonts w:ascii="Times New Roman"/>
          <w:b w:val="false"/>
          <w:i w:val="false"/>
          <w:color w:val="000000"/>
          <w:sz w:val="28"/>
        </w:rPr>
        <w:t>
      7. Для целей заполнения Формы, помимо рейтинговых оценок агентства Стандард энд Пурс (Standard &amp; Poor's), также используются рейтинговые оценки агентств Мудис Инвесторс Сервис (Moody's Investors Service), Фич (Fitch), Эй. Эм. Бэст (A.M. Best) и Морнинстар (Morningstar), а также их дочерних рейтинговых организаций в соответствии с Методикой.</w:t>
      </w:r>
    </w:p>
    <w:bookmarkEnd w:id="138"/>
    <w:bookmarkStart w:name="z180" w:id="139"/>
    <w:p>
      <w:pPr>
        <w:spacing w:after="0"/>
        <w:ind w:left="0"/>
        <w:jc w:val="both"/>
      </w:pPr>
      <w:r>
        <w:rPr>
          <w:rFonts w:ascii="Times New Roman"/>
          <w:b w:val="false"/>
          <w:i w:val="false"/>
          <w:color w:val="000000"/>
          <w:sz w:val="28"/>
        </w:rPr>
        <w:t>
      8. При соответствии финансового инструмента двум или более критериям, установленных в Форме, категория финансового инструмента устанавливается филиалом самостоятельно.</w:t>
      </w:r>
    </w:p>
    <w:bookmarkEnd w:id="139"/>
    <w:bookmarkStart w:name="z181" w:id="140"/>
    <w:p>
      <w:pPr>
        <w:spacing w:after="0"/>
        <w:ind w:left="0"/>
        <w:jc w:val="both"/>
      </w:pPr>
      <w:r>
        <w:rPr>
          <w:rFonts w:ascii="Times New Roman"/>
          <w:b w:val="false"/>
          <w:i w:val="false"/>
          <w:color w:val="000000"/>
          <w:sz w:val="28"/>
        </w:rPr>
        <w:t>
      9. В графе 3 указывается балансовая стоимость по состоянию на конец последнего календарного дня отчетного периода.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41"/>
    <w:p>
      <w:pPr>
        <w:spacing w:after="0"/>
        <w:ind w:left="0"/>
        <w:jc w:val="both"/>
      </w:pPr>
      <w:r>
        <w:rPr>
          <w:rFonts w:ascii="Times New Roman"/>
          <w:b w:val="false"/>
          <w:i w:val="false"/>
          <w:color w:val="000000"/>
          <w:sz w:val="28"/>
        </w:rPr>
        <w:t>
      10. В строке 9 указываются обязательства по операциям РЕПО.</w:t>
      </w:r>
    </w:p>
    <w:bookmarkEnd w:id="141"/>
    <w:bookmarkStart w:name="z183" w:id="142"/>
    <w:p>
      <w:pPr>
        <w:spacing w:after="0"/>
        <w:ind w:left="0"/>
        <w:jc w:val="both"/>
      </w:pPr>
      <w:r>
        <w:rPr>
          <w:rFonts w:ascii="Times New Roman"/>
          <w:b w:val="false"/>
          <w:i w:val="false"/>
          <w:color w:val="000000"/>
          <w:sz w:val="28"/>
        </w:rPr>
        <w:t>
      11. В строке 10 указывается сумма страховых резервов филиала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42"/>
    <w:bookmarkStart w:name="z184" w:id="143"/>
    <w:p>
      <w:pPr>
        <w:spacing w:after="0"/>
        <w:ind w:left="0"/>
        <w:jc w:val="both"/>
      </w:pPr>
      <w:r>
        <w:rPr>
          <w:rFonts w:ascii="Times New Roman"/>
          <w:b w:val="false"/>
          <w:i w:val="false"/>
          <w:color w:val="000000"/>
          <w:sz w:val="28"/>
        </w:rPr>
        <w:t>
      12. В строке 11 указывается норматив достаточности высоколиквидных активов, равный отношению высоколиквидных активов филиала к страховым резервам за минусом доли перестраховщика.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p>
        </w:tc>
      </w:tr>
    </w:tbl>
    <w:bookmarkStart w:name="z186" w:id="144"/>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w:t>
      </w:r>
    </w:p>
    <w:bookmarkEnd w:id="144"/>
    <w:bookmarkStart w:name="z187" w:id="145"/>
    <w:p>
      <w:pPr>
        <w:spacing w:after="0"/>
        <w:ind w:left="0"/>
        <w:jc w:val="left"/>
      </w:pPr>
      <w:r>
        <w:rPr>
          <w:rFonts w:ascii="Times New Roman"/>
          <w:b/>
          <w:i w:val="false"/>
          <w:color w:val="000000"/>
        </w:rPr>
        <w:t xml:space="preserve"> Глава 1. Общие положения</w:t>
      </w:r>
    </w:p>
    <w:bookmarkEnd w:id="145"/>
    <w:bookmarkStart w:name="z188" w:id="146"/>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(далее – Филиалы) в Национальный Банк Республики Казахстан (далее – Национальный Банк).</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47"/>
    <w:p>
      <w:pPr>
        <w:spacing w:after="0"/>
        <w:ind w:left="0"/>
        <w:jc w:val="left"/>
      </w:pPr>
      <w:r>
        <w:rPr>
          <w:rFonts w:ascii="Times New Roman"/>
          <w:b/>
          <w:i w:val="false"/>
          <w:color w:val="000000"/>
        </w:rPr>
        <w:t xml:space="preserve"> Глава 2. Порядок представления отчетности о выполнении пруденциальных нормативов</w:t>
      </w:r>
    </w:p>
    <w:bookmarkEnd w:id="147"/>
    <w:bookmarkStart w:name="z190" w:id="148"/>
    <w:p>
      <w:pPr>
        <w:spacing w:after="0"/>
        <w:ind w:left="0"/>
        <w:jc w:val="both"/>
      </w:pPr>
      <w:r>
        <w:rPr>
          <w:rFonts w:ascii="Times New Roman"/>
          <w:b w:val="false"/>
          <w:i w:val="false"/>
          <w:color w:val="000000"/>
          <w:sz w:val="28"/>
        </w:rPr>
        <w:t>
      2. Филиалы представляют в Национальный Банк отчетность о выполнении пруденциальных нормативов в электронном формате.</w:t>
      </w:r>
    </w:p>
    <w:bookmarkEnd w:id="148"/>
    <w:bookmarkStart w:name="z191" w:id="149"/>
    <w:p>
      <w:pPr>
        <w:spacing w:after="0"/>
        <w:ind w:left="0"/>
        <w:jc w:val="both"/>
      </w:pPr>
      <w:r>
        <w:rPr>
          <w:rFonts w:ascii="Times New Roman"/>
          <w:b w:val="false"/>
          <w:i w:val="false"/>
          <w:color w:val="000000"/>
          <w:sz w:val="28"/>
        </w:rPr>
        <w:t>
      Отчетность о выполнении пруденциальных нормативов по состоянию на отчетную дату подписывается руководителем или лицом, на которое возложена функция по подписанию отчета, и исполнителем.</w:t>
      </w:r>
    </w:p>
    <w:bookmarkEnd w:id="149"/>
    <w:bookmarkStart w:name="z192" w:id="150"/>
    <w:p>
      <w:pPr>
        <w:spacing w:after="0"/>
        <w:ind w:left="0"/>
        <w:jc w:val="both"/>
      </w:pPr>
      <w:r>
        <w:rPr>
          <w:rFonts w:ascii="Times New Roman"/>
          <w:b w:val="false"/>
          <w:i w:val="false"/>
          <w:color w:val="000000"/>
          <w:sz w:val="28"/>
        </w:rPr>
        <w:t>
      3. Филиалы ежедневно осуществляют мониторинг рейтинговых оценок по каждой ценной бумаге, эмитенту, перестраховочной организации, исламской перестраховочной организации, банку второго уровня, а также категории ценных бумаг акционерного общества "Казахстанская фондовая биржа" и (или) ценных бумаг, допущенных к публичным торгам на фондовой бирже, функционирующей на территории Международного Финансового Центра "Астана" (далее – фондовые биржи). При осуществлении расчетов и представлении отчетов используется рейтинговая оценка и категория ценных бумаг фондовых бирж по состоянию на конец отчетного периода.</w:t>
      </w:r>
    </w:p>
    <w:bookmarkEnd w:id="150"/>
    <w:bookmarkStart w:name="z193" w:id="151"/>
    <w:p>
      <w:pPr>
        <w:spacing w:after="0"/>
        <w:ind w:left="0"/>
        <w:jc w:val="both"/>
      </w:pPr>
      <w:r>
        <w:rPr>
          <w:rFonts w:ascii="Times New Roman"/>
          <w:b w:val="false"/>
          <w:i w:val="false"/>
          <w:color w:val="000000"/>
          <w:sz w:val="28"/>
        </w:rPr>
        <w:t>
      4. Если срок представления отчетности о выполнении пруденциальных нормативов приходится на выходной (праздничный) день, то датой представления отчетности о выполнении пруденциальных нормативов считается следующий за ним рабочий день.</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