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aca86" w14:textId="d7aca8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Аккайынскому району на 2020-2021 годы</w:t>
      </w:r>
    </w:p>
    <w:p>
      <w:pPr>
        <w:spacing w:after="0"/>
        <w:ind w:left="0"/>
        <w:jc w:val="both"/>
      </w:pPr>
      <w:r>
        <w:rPr>
          <w:rFonts w:ascii="Times New Roman"/>
          <w:b w:val="false"/>
          <w:i w:val="false"/>
          <w:color w:val="000000"/>
          <w:sz w:val="28"/>
        </w:rPr>
        <w:t>Решение маслихата Аккайынского района Северо-Казахстанской области от 27 августа 2020 года № 41-2. Зарегистрировано Департаментом юстиции Северо-Казахстанской области 8 сентября 2020 года № 6526</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от 20 февраля 2017 года "О пастбищах", маслихат Аккайынского района Северо-Казахстанской области РЕШИЛ:</w:t>
      </w:r>
    </w:p>
    <w:bookmarkEnd w:id="0"/>
    <w:bookmarkStart w:name="z5"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Аккайынскому району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Данное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XLI сессии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маслихата Аккайынского района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Северо-Казахстанской области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Т.Рамазанов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маслихата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Аккайынского района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Северо-Казахстанской области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С.Муканов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Аккайынского района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27 августа 2020 года № 41-2</w:t>
            </w:r>
          </w:p>
        </w:tc>
      </w:tr>
    </w:tbl>
    <w:bookmarkStart w:name="z14" w:id="3"/>
    <w:p>
      <w:pPr>
        <w:spacing w:after="0"/>
        <w:ind w:left="0"/>
        <w:jc w:val="left"/>
      </w:pPr>
      <w:r>
        <w:rPr>
          <w:rFonts w:ascii="Times New Roman"/>
          <w:b/>
          <w:i w:val="false"/>
          <w:color w:val="000000"/>
        </w:rPr>
        <w:t xml:space="preserve"> План по управлению пастбищами и их использованию по Аккайынскому району на 2020-2021 годы</w:t>
      </w:r>
    </w:p>
    <w:bookmarkEnd w:id="3"/>
    <w:bookmarkStart w:name="z15" w:id="4"/>
    <w:p>
      <w:pPr>
        <w:spacing w:after="0"/>
        <w:ind w:left="0"/>
        <w:jc w:val="both"/>
      </w:pPr>
      <w:r>
        <w:rPr>
          <w:rFonts w:ascii="Times New Roman"/>
          <w:b w:val="false"/>
          <w:i w:val="false"/>
          <w:color w:val="000000"/>
          <w:sz w:val="28"/>
        </w:rPr>
        <w:t>
      Настоящий план по управлению пастбищами и их использованию по Аккайынскому району на 2020-2021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4"/>
    <w:bookmarkStart w:name="z16"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7" w:id="6"/>
    <w:p>
      <w:pPr>
        <w:spacing w:after="0"/>
        <w:ind w:left="0"/>
        <w:jc w:val="both"/>
      </w:pPr>
      <w:r>
        <w:rPr>
          <w:rFonts w:ascii="Times New Roman"/>
          <w:b w:val="false"/>
          <w:i w:val="false"/>
          <w:color w:val="000000"/>
          <w:sz w:val="28"/>
        </w:rPr>
        <w:t xml:space="preserve">
      В плане учтены традиции выпаса сельскохозяйственных животных на соответствующей территории администротивно-территориальной единице. </w:t>
      </w:r>
    </w:p>
    <w:bookmarkEnd w:id="6"/>
    <w:bookmarkStart w:name="z18" w:id="7"/>
    <w:p>
      <w:pPr>
        <w:spacing w:after="0"/>
        <w:ind w:left="0"/>
        <w:jc w:val="both"/>
      </w:pPr>
      <w:r>
        <w:rPr>
          <w:rFonts w:ascii="Times New Roman"/>
          <w:b w:val="false"/>
          <w:i w:val="false"/>
          <w:color w:val="000000"/>
          <w:sz w:val="28"/>
        </w:rPr>
        <w:t>
      План содержит:</w:t>
      </w:r>
    </w:p>
    <w:bookmarkEnd w:id="7"/>
    <w:bookmarkStart w:name="z19" w:id="8"/>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приложению 1 к настоящему плану;</w:t>
      </w:r>
    </w:p>
    <w:bookmarkEnd w:id="8"/>
    <w:bookmarkStart w:name="z20" w:id="9"/>
    <w:p>
      <w:pPr>
        <w:spacing w:after="0"/>
        <w:ind w:left="0"/>
        <w:jc w:val="both"/>
      </w:pPr>
      <w:r>
        <w:rPr>
          <w:rFonts w:ascii="Times New Roman"/>
          <w:b w:val="false"/>
          <w:i w:val="false"/>
          <w:color w:val="000000"/>
          <w:sz w:val="28"/>
        </w:rPr>
        <w:t>
      2) приемлемые схемы пастбищеоборотов, согласно приложению 2 к настоящему плану;</w:t>
      </w:r>
    </w:p>
    <w:bookmarkEnd w:id="9"/>
    <w:bookmarkStart w:name="z21" w:id="10"/>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согласно приложению 3 к настоящему плану;</w:t>
      </w:r>
    </w:p>
    <w:bookmarkEnd w:id="10"/>
    <w:bookmarkStart w:name="z22" w:id="11"/>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приложению 4 к настоящему плану;</w:t>
      </w:r>
    </w:p>
    <w:bookmarkEnd w:id="11"/>
    <w:bookmarkStart w:name="z23" w:id="12"/>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приложению 5 к настоящему плану;</w:t>
      </w:r>
    </w:p>
    <w:bookmarkEnd w:id="12"/>
    <w:bookmarkStart w:name="z24" w:id="13"/>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согласно 6 к настоящему плану;</w:t>
      </w:r>
    </w:p>
    <w:bookmarkEnd w:id="13"/>
    <w:bookmarkStart w:name="z25" w:id="14"/>
    <w:p>
      <w:pPr>
        <w:spacing w:after="0"/>
        <w:ind w:left="0"/>
        <w:jc w:val="both"/>
      </w:pPr>
      <w:r>
        <w:rPr>
          <w:rFonts w:ascii="Times New Roman"/>
          <w:b w:val="false"/>
          <w:i w:val="false"/>
          <w:color w:val="000000"/>
          <w:sz w:val="28"/>
        </w:rPr>
        <w:t>
      7) иные требования, необходимые для рационального использования пастбищ на соответствующей административно-территориальной единице.</w:t>
      </w:r>
    </w:p>
    <w:bookmarkEnd w:id="14"/>
    <w:bookmarkStart w:name="z26"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7" w:id="16"/>
    <w:p>
      <w:pPr>
        <w:spacing w:after="0"/>
        <w:ind w:left="0"/>
        <w:jc w:val="both"/>
      </w:pPr>
      <w:r>
        <w:rPr>
          <w:rFonts w:ascii="Times New Roman"/>
          <w:b w:val="false"/>
          <w:i w:val="false"/>
          <w:color w:val="000000"/>
          <w:sz w:val="28"/>
        </w:rPr>
        <w:t>
      По административно-территориальному делению в Аккайынском районе имеются 12 сельских округов, 32 сельских населенных пунктов.</w:t>
      </w:r>
    </w:p>
    <w:bookmarkEnd w:id="16"/>
    <w:bookmarkStart w:name="z28" w:id="17"/>
    <w:p>
      <w:pPr>
        <w:spacing w:after="0"/>
        <w:ind w:left="0"/>
        <w:jc w:val="both"/>
      </w:pPr>
      <w:r>
        <w:rPr>
          <w:rFonts w:ascii="Times New Roman"/>
          <w:b w:val="false"/>
          <w:i w:val="false"/>
          <w:color w:val="000000"/>
          <w:sz w:val="28"/>
        </w:rPr>
        <w:t>
      Общая площадь территории Аккайынского района 470708 га, из них пастбищные земли – 146093 га, в том числе пастбища: в Астраханском сельском округе-6795 га; Аралагашском сельском округе -25537 га; Власовском сельском округе-3257 га; Григорьевском сельском округе -17090 га; Ивановском сельском округе-11319 га; Киялинском сельском округе -11048 га; Лесном сельском округе -15888 га; Полтавском сельском округе-16900 га; Токушинском сельском округе-14737 га; Черкасском сельском округе-15441 га; сельском округе Шагалалы -6431 га; Смирновском сельском округе -1650 га.</w:t>
      </w:r>
    </w:p>
    <w:bookmarkEnd w:id="17"/>
    <w:bookmarkStart w:name="z29"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30" w:id="19"/>
    <w:p>
      <w:pPr>
        <w:spacing w:after="0"/>
        <w:ind w:left="0"/>
        <w:jc w:val="both"/>
      </w:pPr>
      <w:r>
        <w:rPr>
          <w:rFonts w:ascii="Times New Roman"/>
          <w:b w:val="false"/>
          <w:i w:val="false"/>
          <w:color w:val="000000"/>
          <w:sz w:val="28"/>
        </w:rPr>
        <w:t>
      земли сельскохозяйственного назначения – 358253 га;</w:t>
      </w:r>
    </w:p>
    <w:bookmarkEnd w:id="19"/>
    <w:bookmarkStart w:name="z31" w:id="20"/>
    <w:p>
      <w:pPr>
        <w:spacing w:after="0"/>
        <w:ind w:left="0"/>
        <w:jc w:val="both"/>
      </w:pPr>
      <w:r>
        <w:rPr>
          <w:rFonts w:ascii="Times New Roman"/>
          <w:b w:val="false"/>
          <w:i w:val="false"/>
          <w:color w:val="000000"/>
          <w:sz w:val="28"/>
        </w:rPr>
        <w:t>
      земли населенных пунктов – 41761 га;</w:t>
      </w:r>
    </w:p>
    <w:bookmarkEnd w:id="20"/>
    <w:bookmarkStart w:name="z32" w:id="2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1695 га;</w:t>
      </w:r>
    </w:p>
    <w:bookmarkEnd w:id="21"/>
    <w:bookmarkStart w:name="z33" w:id="22"/>
    <w:p>
      <w:pPr>
        <w:spacing w:after="0"/>
        <w:ind w:left="0"/>
        <w:jc w:val="both"/>
      </w:pPr>
      <w:r>
        <w:rPr>
          <w:rFonts w:ascii="Times New Roman"/>
          <w:b w:val="false"/>
          <w:i w:val="false"/>
          <w:color w:val="000000"/>
          <w:sz w:val="28"/>
        </w:rPr>
        <w:t>
      земли запаса – 19927 га.</w:t>
      </w:r>
    </w:p>
    <w:bookmarkEnd w:id="22"/>
    <w:bookmarkStart w:name="z34" w:id="23"/>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-18,5; -18,7°С, в июле +18,5;+18,7°С. Средний размер осадков составляет -42-58 мм, а годовой- 204 мм.</w:t>
      </w:r>
    </w:p>
    <w:bookmarkEnd w:id="23"/>
    <w:bookmarkStart w:name="z35" w:id="24"/>
    <w:p>
      <w:pPr>
        <w:spacing w:after="0"/>
        <w:ind w:left="0"/>
        <w:jc w:val="both"/>
      </w:pPr>
      <w:r>
        <w:rPr>
          <w:rFonts w:ascii="Times New Roman"/>
          <w:b w:val="false"/>
          <w:i w:val="false"/>
          <w:color w:val="000000"/>
          <w:sz w:val="28"/>
        </w:rPr>
        <w:t>
      Растительный покров района разнообразный, включает примерно 115 видов. Самые распространенные из них зерновые и сложноцветные травы.</w:t>
      </w:r>
    </w:p>
    <w:bookmarkEnd w:id="24"/>
    <w:bookmarkStart w:name="z36" w:id="25"/>
    <w:p>
      <w:pPr>
        <w:spacing w:after="0"/>
        <w:ind w:left="0"/>
        <w:jc w:val="both"/>
      </w:pPr>
      <w:r>
        <w:rPr>
          <w:rFonts w:ascii="Times New Roman"/>
          <w:b w:val="false"/>
          <w:i w:val="false"/>
          <w:color w:val="000000"/>
          <w:sz w:val="28"/>
        </w:rPr>
        <w:t>
      Почвы в районе зонально распределяются так, что в северной части залегают обыкновенные суглинистые черноземы, а к югу они переходят в южные черноземы с более легким составом. Среди черноземов залегают интразональные почвы – комплекс солонцов, солончаков и солонцеватых почв. Черноземные почвы района содержат от 6 до 10% гумуса.</w:t>
      </w:r>
    </w:p>
    <w:bookmarkEnd w:id="25"/>
    <w:bookmarkStart w:name="z37" w:id="26"/>
    <w:p>
      <w:pPr>
        <w:spacing w:after="0"/>
        <w:ind w:left="0"/>
        <w:jc w:val="both"/>
      </w:pPr>
      <w:r>
        <w:rPr>
          <w:rFonts w:ascii="Times New Roman"/>
          <w:b w:val="false"/>
          <w:i w:val="false"/>
          <w:color w:val="000000"/>
          <w:sz w:val="28"/>
        </w:rPr>
        <w:t>
      В районе действуют 11 ветеринарных пунктов, 1 убойный пункт, 4 убойных площадок, 24 скотомогильника, 23 сибироязвенных захоронений.</w:t>
      </w:r>
    </w:p>
    <w:bookmarkEnd w:id="26"/>
    <w:bookmarkStart w:name="z38" w:id="27"/>
    <w:p>
      <w:pPr>
        <w:spacing w:after="0"/>
        <w:ind w:left="0"/>
        <w:jc w:val="both"/>
      </w:pPr>
      <w:r>
        <w:rPr>
          <w:rFonts w:ascii="Times New Roman"/>
          <w:b w:val="false"/>
          <w:i w:val="false"/>
          <w:color w:val="000000"/>
          <w:sz w:val="28"/>
        </w:rPr>
        <w:t>
      В настоящее время в Аккайынском районе насчитывается крупного рогатого скота 19340 голов, мелкого рогатого скота 20478 голов, 3323 голов лошадей, 9128 голов свиней.</w:t>
      </w:r>
    </w:p>
    <w:bookmarkEnd w:id="27"/>
    <w:bookmarkStart w:name="z39" w:id="28"/>
    <w:p>
      <w:pPr>
        <w:spacing w:after="0"/>
        <w:ind w:left="0"/>
        <w:jc w:val="both"/>
      </w:pPr>
      <w:r>
        <w:rPr>
          <w:rFonts w:ascii="Times New Roman"/>
          <w:b w:val="false"/>
          <w:i w:val="false"/>
          <w:color w:val="000000"/>
          <w:sz w:val="28"/>
        </w:rPr>
        <w:t>
      Для обеспечения сельскохозяйственных животных по Аккайынскому району имеются всего 100138 га пастбищных угодий. В черте населенного пункта числится 31055 га пастбищ, в землях запаса имеются 8920 га пастбищных угодий.</w:t>
      </w:r>
    </w:p>
    <w:bookmarkEnd w:id="28"/>
    <w:bookmarkStart w:name="z40" w:id="29"/>
    <w:p>
      <w:pPr>
        <w:spacing w:after="0"/>
        <w:ind w:left="0"/>
        <w:jc w:val="both"/>
      </w:pPr>
      <w:r>
        <w:rPr>
          <w:rFonts w:ascii="Times New Roman"/>
          <w:b w:val="false"/>
          <w:i w:val="false"/>
          <w:color w:val="000000"/>
          <w:sz w:val="28"/>
        </w:rPr>
        <w:t>
      Площадь пастбищ Аккайынского района полностью обеспечивает поголовье сельскохозяйственных животных. Отгонных пастбищ, используемых для ведения отгонного животноводства, нет. Тем самым сервитуты для прогона скота не требуются. Также отсутствуют на территории района аридные пастбища.</w:t>
      </w:r>
    </w:p>
    <w:bookmarkEnd w:id="29"/>
    <w:bookmarkStart w:name="z41" w:id="30"/>
    <w:p>
      <w:pPr>
        <w:spacing w:after="0"/>
        <w:ind w:left="0"/>
        <w:jc w:val="both"/>
      </w:pPr>
      <w:r>
        <w:rPr>
          <w:rFonts w:ascii="Times New Roman"/>
          <w:b w:val="false"/>
          <w:i w:val="false"/>
          <w:color w:val="000000"/>
          <w:sz w:val="28"/>
        </w:rPr>
        <w:t>
      Примечание: расшифровка аббревиатуры:</w:t>
      </w:r>
    </w:p>
    <w:bookmarkEnd w:id="30"/>
    <w:bookmarkStart w:name="z42" w:id="31"/>
    <w:p>
      <w:pPr>
        <w:spacing w:after="0"/>
        <w:ind w:left="0"/>
        <w:jc w:val="both"/>
      </w:pPr>
      <w:r>
        <w:rPr>
          <w:rFonts w:ascii="Times New Roman"/>
          <w:b w:val="false"/>
          <w:i w:val="false"/>
          <w:color w:val="000000"/>
          <w:sz w:val="28"/>
        </w:rPr>
        <w:t>
      °С – показатель Цельсия;</w:t>
      </w:r>
    </w:p>
    <w:bookmarkEnd w:id="31"/>
    <w:bookmarkStart w:name="z43" w:id="32"/>
    <w:p>
      <w:pPr>
        <w:spacing w:after="0"/>
        <w:ind w:left="0"/>
        <w:jc w:val="both"/>
      </w:pPr>
      <w:r>
        <w:rPr>
          <w:rFonts w:ascii="Times New Roman"/>
          <w:b w:val="false"/>
          <w:i w:val="false"/>
          <w:color w:val="000000"/>
          <w:sz w:val="28"/>
        </w:rPr>
        <w:t>
      га – гектар;</w:t>
      </w:r>
    </w:p>
    <w:bookmarkEnd w:id="32"/>
    <w:bookmarkStart w:name="z44" w:id="33"/>
    <w:p>
      <w:pPr>
        <w:spacing w:after="0"/>
        <w:ind w:left="0"/>
        <w:jc w:val="both"/>
      </w:pPr>
      <w:r>
        <w:rPr>
          <w:rFonts w:ascii="Times New Roman"/>
          <w:b w:val="false"/>
          <w:i w:val="false"/>
          <w:color w:val="000000"/>
          <w:sz w:val="28"/>
        </w:rPr>
        <w:t>
      мм - миллиметр;</w:t>
      </w:r>
    </w:p>
    <w:bookmarkEnd w:id="33"/>
    <w:bookmarkStart w:name="z45" w:id="34"/>
    <w:p>
      <w:pPr>
        <w:spacing w:after="0"/>
        <w:ind w:left="0"/>
        <w:jc w:val="both"/>
      </w:pPr>
      <w:r>
        <w:rPr>
          <w:rFonts w:ascii="Times New Roman"/>
          <w:b w:val="false"/>
          <w:i w:val="false"/>
          <w:color w:val="000000"/>
          <w:sz w:val="28"/>
        </w:rPr>
        <w:t>
      с/о - сельский округ.</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2020-2021 годы</w:t>
            </w:r>
          </w:p>
        </w:tc>
      </w:tr>
    </w:tbl>
    <w:bookmarkStart w:name="z51" w:id="3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5"/>
    <w:bookmarkStart w:name="z5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2020-2021 годы</w:t>
            </w:r>
          </w:p>
        </w:tc>
      </w:tr>
    </w:tbl>
    <w:bookmarkStart w:name="z58" w:id="37"/>
    <w:p>
      <w:pPr>
        <w:spacing w:after="0"/>
        <w:ind w:left="0"/>
        <w:jc w:val="left"/>
      </w:pPr>
      <w:r>
        <w:rPr>
          <w:rFonts w:ascii="Times New Roman"/>
          <w:b/>
          <w:i w:val="false"/>
          <w:color w:val="000000"/>
        </w:rPr>
        <w:t xml:space="preserve"> Приемлемые схемы пастбищеоборотов</w:t>
      </w:r>
    </w:p>
    <w:bookmarkEnd w:id="37"/>
    <w:bookmarkStart w:name="z5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2020-2021 годы</w:t>
            </w:r>
          </w:p>
        </w:tc>
      </w:tr>
    </w:tbl>
    <w:bookmarkStart w:name="z65" w:id="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9"/>
    <w:bookmarkStart w:name="z6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2020-2021 годы</w:t>
            </w:r>
          </w:p>
        </w:tc>
      </w:tr>
    </w:tbl>
    <w:bookmarkStart w:name="z72" w:id="4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41"/>
    <w:bookmarkStart w:name="z7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2020-2021 годы</w:t>
            </w:r>
          </w:p>
        </w:tc>
      </w:tr>
    </w:tbl>
    <w:bookmarkStart w:name="z79" w:id="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3"/>
    <w:bookmarkStart w:name="z8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2020-2021 годы</w:t>
            </w:r>
          </w:p>
        </w:tc>
      </w:tr>
    </w:tbl>
    <w:bookmarkStart w:name="z86" w:id="4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7"/>
        <w:gridCol w:w="656"/>
        <w:gridCol w:w="2656"/>
        <w:gridCol w:w="2657"/>
        <w:gridCol w:w="2657"/>
        <w:gridCol w:w="2657"/>
      </w:tblGrid>
      <w:tr>
        <w:trPr>
          <w:trHeight w:val="30" w:hRule="atLeast"/>
        </w:trPr>
        <w:tc>
          <w:tcPr>
            <w:tcW w:w="1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4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4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4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47"/>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4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4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4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49"/>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5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5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5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51"/>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52"/>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5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53"/>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53"/>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54"/>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54"/>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55"/>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55"/>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5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57"/>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5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5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59"/>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6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6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6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61"/>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62"/>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6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63"/>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63"/>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64"/>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6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65"/>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65"/>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66"/>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6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67"/>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6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6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69"/>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7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7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71"/>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72"/>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7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73"/>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73"/>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74"/>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7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75"/>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75"/>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7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77"/>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78"/>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79"/>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8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8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8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81"/>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