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4eb6" w14:textId="e8c4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июня 2020 года № 234. Зарегистрирован в Министерстве юстиции Республики Казахстан 29 июня 2020 года № 20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 (зарегистрирован в Реестре государственной регистрации нормативных правовых актов за № 16098, опубликован 9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пустимый объем – разность 30 (тридцать) процентов от объема инвестиций 2015 года и суммы уровней необходимого ежегодного возврата по инвестиционным программам модернизации, расширения, реконструкции и (или) обновления действующих инвестиционных соглашений на модернизацию, расширение, реконструкцию и (или) обновление, заключенных в предыдущих периодах (годах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энергетики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